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428B609" w:rsidR="0076394C" w:rsidRDefault="00F452AC" w:rsidP="00A86DFD">
      <w:pPr>
        <w:pStyle w:val="Title"/>
      </w:pPr>
      <w:r>
        <w:rPr>
          <w:noProof/>
          <w:lang w:eastAsia="en-GB"/>
        </w:rPr>
        <w:drawing>
          <wp:anchor distT="0" distB="0" distL="114300" distR="114300" simplePos="0" relativeHeight="251659264" behindDoc="1" locked="0" layoutInCell="1" allowOverlap="1" wp14:anchorId="28DC2966" wp14:editId="06764A30">
            <wp:simplePos x="0" y="0"/>
            <wp:positionH relativeFrom="page">
              <wp:posOffset>5648658</wp:posOffset>
            </wp:positionH>
            <wp:positionV relativeFrom="page">
              <wp:posOffset>460664</wp:posOffset>
            </wp:positionV>
            <wp:extent cx="1321806" cy="735546"/>
            <wp:effectExtent l="0" t="0" r="0" b="7620"/>
            <wp:wrapNone/>
            <wp:docPr id="7"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picture containing text, font, graphics,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1806" cy="7355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3BAD7" w14:textId="77777777" w:rsidR="006B2675" w:rsidRPr="006B2675" w:rsidRDefault="006B2675" w:rsidP="007E5719">
      <w:pPr>
        <w:ind w:right="-941"/>
      </w:pPr>
    </w:p>
    <w:p w14:paraId="1CC3FC09" w14:textId="77777777" w:rsidR="000C720B" w:rsidRPr="000C720B" w:rsidRDefault="0005656D" w:rsidP="007E5719">
      <w:pPr>
        <w:pStyle w:val="Subtitle"/>
        <w:ind w:right="-941"/>
        <w:rPr>
          <w:i w:val="0"/>
          <w:iCs w:val="0"/>
          <w:spacing w:val="5"/>
          <w:kern w:val="28"/>
          <w:sz w:val="56"/>
          <w:szCs w:val="56"/>
        </w:rPr>
      </w:pPr>
      <w:r w:rsidRPr="000C720B">
        <w:rPr>
          <w:i w:val="0"/>
          <w:iCs w:val="0"/>
          <w:spacing w:val="5"/>
          <w:kern w:val="28"/>
          <w:sz w:val="56"/>
          <w:szCs w:val="56"/>
        </w:rPr>
        <w:t>HelpAge</w:t>
      </w:r>
      <w:r w:rsidR="0007475B" w:rsidRPr="000C720B">
        <w:rPr>
          <w:i w:val="0"/>
          <w:iCs w:val="0"/>
          <w:spacing w:val="5"/>
          <w:kern w:val="28"/>
          <w:sz w:val="56"/>
          <w:szCs w:val="56"/>
        </w:rPr>
        <w:t xml:space="preserve"> statements</w:t>
      </w:r>
      <w:r w:rsidR="00A018CC" w:rsidRPr="000C720B">
        <w:rPr>
          <w:i w:val="0"/>
          <w:iCs w:val="0"/>
          <w:spacing w:val="5"/>
          <w:kern w:val="28"/>
          <w:sz w:val="56"/>
          <w:szCs w:val="56"/>
        </w:rPr>
        <w:t xml:space="preserve"> at </w:t>
      </w:r>
      <w:r w:rsidR="000C720B" w:rsidRPr="000C720B">
        <w:rPr>
          <w:i w:val="0"/>
          <w:iCs w:val="0"/>
          <w:spacing w:val="5"/>
          <w:kern w:val="28"/>
          <w:sz w:val="56"/>
          <w:szCs w:val="56"/>
        </w:rPr>
        <w:t xml:space="preserve">the </w:t>
      </w:r>
    </w:p>
    <w:p w14:paraId="551F7D31" w14:textId="737B000D" w:rsidR="0007475B" w:rsidRPr="000C720B" w:rsidRDefault="00065129" w:rsidP="007E5719">
      <w:pPr>
        <w:pStyle w:val="Subtitle"/>
        <w:ind w:right="-941"/>
        <w:rPr>
          <w:i w:val="0"/>
          <w:iCs w:val="0"/>
          <w:spacing w:val="5"/>
          <w:kern w:val="28"/>
          <w:sz w:val="56"/>
          <w:szCs w:val="56"/>
        </w:rPr>
      </w:pPr>
      <w:r>
        <w:rPr>
          <w:i w:val="0"/>
          <w:iCs w:val="0"/>
          <w:spacing w:val="5"/>
          <w:kern w:val="28"/>
          <w:sz w:val="56"/>
          <w:szCs w:val="56"/>
        </w:rPr>
        <w:t>76</w:t>
      </w:r>
      <w:r w:rsidRPr="00065129">
        <w:rPr>
          <w:i w:val="0"/>
          <w:iCs w:val="0"/>
          <w:spacing w:val="5"/>
          <w:kern w:val="28"/>
          <w:sz w:val="56"/>
          <w:szCs w:val="56"/>
          <w:vertAlign w:val="superscript"/>
        </w:rPr>
        <w:t>th</w:t>
      </w:r>
      <w:r>
        <w:rPr>
          <w:i w:val="0"/>
          <w:iCs w:val="0"/>
          <w:spacing w:val="5"/>
          <w:kern w:val="28"/>
          <w:sz w:val="56"/>
          <w:szCs w:val="56"/>
        </w:rPr>
        <w:t xml:space="preserve"> </w:t>
      </w:r>
      <w:r w:rsidR="0007475B" w:rsidRPr="000C720B">
        <w:rPr>
          <w:i w:val="0"/>
          <w:iCs w:val="0"/>
          <w:spacing w:val="5"/>
          <w:kern w:val="28"/>
          <w:sz w:val="56"/>
          <w:szCs w:val="56"/>
        </w:rPr>
        <w:t>W</w:t>
      </w:r>
      <w:r w:rsidR="0005656D" w:rsidRPr="000C720B">
        <w:rPr>
          <w:i w:val="0"/>
          <w:iCs w:val="0"/>
          <w:spacing w:val="5"/>
          <w:kern w:val="28"/>
          <w:sz w:val="56"/>
          <w:szCs w:val="56"/>
        </w:rPr>
        <w:t xml:space="preserve">orld Health </w:t>
      </w:r>
      <w:r w:rsidR="0007475B" w:rsidRPr="000C720B">
        <w:rPr>
          <w:i w:val="0"/>
          <w:iCs w:val="0"/>
          <w:spacing w:val="5"/>
          <w:kern w:val="28"/>
          <w:sz w:val="56"/>
          <w:szCs w:val="56"/>
        </w:rPr>
        <w:t>Assembly</w:t>
      </w:r>
      <w:r w:rsidR="005A346B" w:rsidRPr="000C720B">
        <w:rPr>
          <w:i w:val="0"/>
          <w:iCs w:val="0"/>
          <w:spacing w:val="5"/>
          <w:kern w:val="28"/>
          <w:sz w:val="56"/>
          <w:szCs w:val="56"/>
        </w:rPr>
        <w:t xml:space="preserve"> </w:t>
      </w:r>
    </w:p>
    <w:p w14:paraId="65CEB376" w14:textId="0EA9FB44" w:rsidR="0007475B" w:rsidRDefault="0007475B" w:rsidP="007E5719">
      <w:pPr>
        <w:ind w:right="-941"/>
        <w:rPr>
          <w:color w:val="F33062" w:themeColor="accent1"/>
          <w:sz w:val="36"/>
          <w:szCs w:val="36"/>
        </w:rPr>
      </w:pPr>
      <w:r w:rsidRPr="006B2675">
        <w:rPr>
          <w:color w:val="F33062" w:themeColor="accent1"/>
          <w:sz w:val="36"/>
          <w:szCs w:val="36"/>
        </w:rPr>
        <w:t>May 2023</w:t>
      </w:r>
    </w:p>
    <w:p w14:paraId="6DBFC825" w14:textId="77777777" w:rsidR="00DC6E36" w:rsidRPr="00EA3A54" w:rsidRDefault="00DC6E36" w:rsidP="007E5719">
      <w:pPr>
        <w:ind w:right="-941"/>
        <w:rPr>
          <w:b/>
          <w:bCs/>
          <w:color w:val="675C4C" w:themeColor="text2" w:themeShade="BF"/>
          <w:sz w:val="21"/>
          <w:szCs w:val="21"/>
        </w:rPr>
      </w:pPr>
    </w:p>
    <w:p w14:paraId="295BCE50" w14:textId="14508187" w:rsidR="00DC6E36" w:rsidRPr="00B6255B" w:rsidRDefault="00DC6E36" w:rsidP="007E5719">
      <w:pPr>
        <w:ind w:right="-941"/>
        <w:rPr>
          <w:b/>
          <w:bCs/>
          <w:color w:val="675C4C" w:themeColor="text2" w:themeShade="BF"/>
          <w:sz w:val="24"/>
        </w:rPr>
      </w:pPr>
      <w:r w:rsidRPr="00B6255B">
        <w:rPr>
          <w:b/>
          <w:bCs/>
          <w:color w:val="675C4C" w:themeColor="text2" w:themeShade="BF"/>
          <w:sz w:val="24"/>
        </w:rPr>
        <w:t xml:space="preserve">Below are constituency statements that HelpAge </w:t>
      </w:r>
      <w:r w:rsidR="00EA3A54" w:rsidRPr="00B6255B">
        <w:rPr>
          <w:b/>
          <w:bCs/>
          <w:color w:val="675C4C" w:themeColor="text2" w:themeShade="BF"/>
          <w:sz w:val="24"/>
        </w:rPr>
        <w:t>is support</w:t>
      </w:r>
      <w:r w:rsidR="008D5C6D" w:rsidRPr="00B6255B">
        <w:rPr>
          <w:b/>
          <w:bCs/>
          <w:color w:val="675C4C" w:themeColor="text2" w:themeShade="BF"/>
          <w:sz w:val="24"/>
        </w:rPr>
        <w:t>ing</w:t>
      </w:r>
      <w:r w:rsidRPr="00B6255B">
        <w:rPr>
          <w:b/>
          <w:bCs/>
          <w:color w:val="675C4C" w:themeColor="text2" w:themeShade="BF"/>
          <w:sz w:val="24"/>
        </w:rPr>
        <w:t xml:space="preserve"> and individual statements </w:t>
      </w:r>
      <w:r w:rsidR="00EA3A54" w:rsidRPr="00B6255B">
        <w:rPr>
          <w:b/>
          <w:bCs/>
          <w:color w:val="675C4C" w:themeColor="text2" w:themeShade="BF"/>
          <w:sz w:val="24"/>
        </w:rPr>
        <w:t>we will be making on key agenda items.</w:t>
      </w:r>
      <w:r w:rsidRPr="00B6255B">
        <w:rPr>
          <w:b/>
          <w:bCs/>
          <w:color w:val="675C4C" w:themeColor="text2" w:themeShade="BF"/>
          <w:sz w:val="24"/>
        </w:rPr>
        <w:t xml:space="preserve"> </w:t>
      </w:r>
    </w:p>
    <w:p w14:paraId="0A37501D" w14:textId="77777777" w:rsidR="008476A0" w:rsidRPr="0005656D" w:rsidRDefault="008476A0" w:rsidP="007E5719">
      <w:pPr>
        <w:ind w:right="-1083"/>
        <w:rPr>
          <w:rFonts w:asciiTheme="majorHAnsi" w:hAnsiTheme="majorHAnsi"/>
          <w:sz w:val="21"/>
          <w:szCs w:val="21"/>
        </w:rPr>
      </w:pPr>
    </w:p>
    <w:p w14:paraId="0C40F4F1" w14:textId="3F029847" w:rsidR="0005656D" w:rsidRPr="0042729B" w:rsidRDefault="0005656D" w:rsidP="007E5719">
      <w:pPr>
        <w:pStyle w:val="Heading3"/>
        <w:ind w:right="-941"/>
        <w:rPr>
          <w:rFonts w:asciiTheme="majorHAnsi" w:hAnsiTheme="majorHAnsi"/>
          <w:sz w:val="21"/>
          <w:szCs w:val="21"/>
        </w:rPr>
      </w:pPr>
      <w:r w:rsidRPr="0042729B">
        <w:rPr>
          <w:rFonts w:asciiTheme="majorHAnsi" w:hAnsiTheme="majorHAnsi"/>
          <w:sz w:val="21"/>
          <w:szCs w:val="21"/>
        </w:rPr>
        <w:t xml:space="preserve">Agenda item </w:t>
      </w:r>
      <w:r w:rsidR="006A1A24" w:rsidRPr="0042729B">
        <w:rPr>
          <w:rFonts w:asciiTheme="majorHAnsi" w:hAnsiTheme="majorHAnsi"/>
          <w:sz w:val="21"/>
          <w:szCs w:val="21"/>
        </w:rPr>
        <w:t>13.1</w:t>
      </w:r>
      <w:r w:rsidRPr="0042729B">
        <w:rPr>
          <w:rFonts w:asciiTheme="majorHAnsi" w:hAnsiTheme="majorHAnsi"/>
          <w:sz w:val="21"/>
          <w:szCs w:val="21"/>
        </w:rPr>
        <w:t xml:space="preserve"> </w:t>
      </w:r>
      <w:r w:rsidR="0007475B" w:rsidRPr="0042729B">
        <w:rPr>
          <w:rFonts w:asciiTheme="majorHAnsi" w:hAnsiTheme="majorHAnsi"/>
          <w:sz w:val="21"/>
          <w:szCs w:val="21"/>
        </w:rPr>
        <w:t xml:space="preserve">Universal Health Coverage: </w:t>
      </w:r>
      <w:r w:rsidRPr="0042729B">
        <w:rPr>
          <w:rFonts w:asciiTheme="majorHAnsi" w:hAnsiTheme="majorHAnsi"/>
          <w:sz w:val="21"/>
          <w:szCs w:val="21"/>
        </w:rPr>
        <w:t xml:space="preserve">Reorienting health systems to primary health care as a resilient foundation for universal health coverage and preparations for a high-level meeting of the United Nations General Assembly on universal health coverage </w:t>
      </w:r>
    </w:p>
    <w:p w14:paraId="3075F404" w14:textId="77777777" w:rsidR="0005656D" w:rsidRPr="0042729B" w:rsidRDefault="0005656D" w:rsidP="007E5719">
      <w:pPr>
        <w:ind w:right="-941"/>
        <w:rPr>
          <w:rFonts w:asciiTheme="majorHAnsi" w:hAnsiTheme="majorHAnsi"/>
          <w:b/>
          <w:bCs/>
          <w:sz w:val="21"/>
          <w:szCs w:val="21"/>
        </w:rPr>
      </w:pPr>
    </w:p>
    <w:p w14:paraId="21F8387D" w14:textId="14DC42F4" w:rsidR="0005656D" w:rsidRPr="0042729B" w:rsidRDefault="0005656D" w:rsidP="007E5719">
      <w:pPr>
        <w:ind w:right="-941"/>
        <w:rPr>
          <w:rFonts w:asciiTheme="majorHAnsi" w:hAnsiTheme="majorHAnsi"/>
          <w:sz w:val="21"/>
          <w:szCs w:val="21"/>
        </w:rPr>
      </w:pPr>
      <w:r w:rsidRPr="0042729B">
        <w:rPr>
          <w:rFonts w:asciiTheme="majorHAnsi" w:hAnsiTheme="majorHAnsi"/>
          <w:b/>
          <w:bCs/>
          <w:sz w:val="21"/>
          <w:szCs w:val="21"/>
        </w:rPr>
        <w:t>Constituency statement by</w:t>
      </w:r>
      <w:r w:rsidRPr="0042729B">
        <w:rPr>
          <w:rFonts w:asciiTheme="majorHAnsi" w:hAnsiTheme="majorHAnsi"/>
          <w:sz w:val="21"/>
          <w:szCs w:val="21"/>
        </w:rPr>
        <w:t>:</w:t>
      </w:r>
      <w:r w:rsidR="00DB7CA1" w:rsidRPr="0042729B">
        <w:rPr>
          <w:rFonts w:asciiTheme="majorHAnsi" w:hAnsiTheme="majorHAnsi"/>
          <w:sz w:val="21"/>
          <w:szCs w:val="21"/>
        </w:rPr>
        <w:t xml:space="preserve"> Alzheimer’s Disease International,</w:t>
      </w:r>
      <w:r w:rsidRPr="0042729B">
        <w:rPr>
          <w:rFonts w:asciiTheme="majorHAnsi" w:hAnsiTheme="majorHAnsi"/>
          <w:sz w:val="21"/>
          <w:szCs w:val="21"/>
        </w:rPr>
        <w:t xml:space="preserve"> </w:t>
      </w:r>
      <w:proofErr w:type="spellStart"/>
      <w:r w:rsidR="006A1A24" w:rsidRPr="0042729B">
        <w:rPr>
          <w:rFonts w:asciiTheme="majorHAnsi" w:hAnsiTheme="majorHAnsi"/>
          <w:sz w:val="21"/>
          <w:szCs w:val="21"/>
        </w:rPr>
        <w:t>Anesvad</w:t>
      </w:r>
      <w:proofErr w:type="spellEnd"/>
      <w:r w:rsidR="006A1A24" w:rsidRPr="0042729B">
        <w:rPr>
          <w:rFonts w:asciiTheme="majorHAnsi" w:hAnsiTheme="majorHAnsi"/>
          <w:sz w:val="21"/>
          <w:szCs w:val="21"/>
        </w:rPr>
        <w:t xml:space="preserve"> Foundation, </w:t>
      </w:r>
      <w:r w:rsidRPr="0042729B">
        <w:rPr>
          <w:rFonts w:asciiTheme="majorHAnsi" w:hAnsiTheme="majorHAnsi"/>
          <w:sz w:val="21"/>
          <w:szCs w:val="21"/>
        </w:rPr>
        <w:t xml:space="preserve">Christian Blind Mission, </w:t>
      </w:r>
      <w:r w:rsidR="00A46E0F">
        <w:rPr>
          <w:rFonts w:asciiTheme="majorHAnsi" w:hAnsiTheme="majorHAnsi"/>
          <w:sz w:val="21"/>
          <w:szCs w:val="21"/>
        </w:rPr>
        <w:t xml:space="preserve">Fred Hollows Foundation, </w:t>
      </w:r>
      <w:r w:rsidRPr="0042729B">
        <w:rPr>
          <w:rFonts w:asciiTheme="majorHAnsi" w:hAnsiTheme="majorHAnsi"/>
          <w:sz w:val="21"/>
          <w:szCs w:val="21"/>
        </w:rPr>
        <w:t xml:space="preserve">Handicap International Federation, HelpAge International, International Alliance for Hospice and Palliative Care, International Federation on Ageing, </w:t>
      </w:r>
      <w:r w:rsidR="004050E7" w:rsidRPr="0042729B">
        <w:rPr>
          <w:rFonts w:asciiTheme="majorHAnsi" w:hAnsiTheme="majorHAnsi"/>
          <w:sz w:val="21"/>
          <w:szCs w:val="21"/>
        </w:rPr>
        <w:t>International Federation of Anti-Leprosy Associations</w:t>
      </w:r>
      <w:r w:rsidR="0026395B" w:rsidRPr="0042729B">
        <w:rPr>
          <w:rFonts w:asciiTheme="majorHAnsi" w:hAnsiTheme="majorHAnsi"/>
          <w:sz w:val="21"/>
          <w:szCs w:val="21"/>
        </w:rPr>
        <w:t xml:space="preserve">, </w:t>
      </w:r>
      <w:r w:rsidR="0069575A">
        <w:rPr>
          <w:rFonts w:asciiTheme="majorHAnsi" w:hAnsiTheme="majorHAnsi"/>
          <w:sz w:val="21"/>
          <w:szCs w:val="21"/>
        </w:rPr>
        <w:t xml:space="preserve">International League of Dermatological Societies, </w:t>
      </w:r>
      <w:r w:rsidRPr="0042729B">
        <w:rPr>
          <w:rFonts w:asciiTheme="majorHAnsi" w:hAnsiTheme="majorHAnsi"/>
          <w:sz w:val="21"/>
          <w:szCs w:val="21"/>
        </w:rPr>
        <w:t>Royal Commonwealth Society for the Blind (</w:t>
      </w:r>
      <w:proofErr w:type="spellStart"/>
      <w:r w:rsidRPr="0042729B">
        <w:rPr>
          <w:rFonts w:asciiTheme="majorHAnsi" w:hAnsiTheme="majorHAnsi"/>
          <w:sz w:val="21"/>
          <w:szCs w:val="21"/>
        </w:rPr>
        <w:t>Sightsavers</w:t>
      </w:r>
      <w:proofErr w:type="spellEnd"/>
      <w:r w:rsidRPr="0042729B">
        <w:rPr>
          <w:rFonts w:asciiTheme="majorHAnsi" w:hAnsiTheme="majorHAnsi"/>
          <w:sz w:val="21"/>
          <w:szCs w:val="21"/>
        </w:rPr>
        <w:t>), and The Worldwide Hospice Palliative Care Alliance</w:t>
      </w:r>
      <w:r w:rsidR="006A1A24" w:rsidRPr="0042729B">
        <w:rPr>
          <w:rFonts w:asciiTheme="majorHAnsi" w:hAnsiTheme="majorHAnsi"/>
          <w:sz w:val="21"/>
          <w:szCs w:val="21"/>
        </w:rPr>
        <w:t>.</w:t>
      </w:r>
      <w:r w:rsidRPr="0042729B">
        <w:rPr>
          <w:rFonts w:asciiTheme="majorHAnsi" w:hAnsiTheme="majorHAnsi"/>
          <w:sz w:val="21"/>
          <w:szCs w:val="21"/>
        </w:rPr>
        <w:t xml:space="preserve"> </w:t>
      </w:r>
    </w:p>
    <w:p w14:paraId="1E44D6EB" w14:textId="77777777" w:rsidR="00CB4959" w:rsidRPr="0042729B" w:rsidRDefault="0005656D" w:rsidP="007E5719">
      <w:pPr>
        <w:pStyle w:val="NormalWeb"/>
        <w:spacing w:before="240" w:after="240"/>
        <w:ind w:right="-941"/>
        <w:rPr>
          <w:rFonts w:asciiTheme="majorHAnsi" w:hAnsiTheme="majorHAnsi"/>
          <w:color w:val="000000"/>
          <w:sz w:val="21"/>
          <w:szCs w:val="21"/>
        </w:rPr>
      </w:pPr>
      <w:r w:rsidRPr="0042729B">
        <w:rPr>
          <w:rFonts w:asciiTheme="majorHAnsi" w:hAnsiTheme="majorHAnsi"/>
          <w:b/>
          <w:bCs/>
          <w:color w:val="000000"/>
          <w:sz w:val="21"/>
          <w:szCs w:val="21"/>
        </w:rPr>
        <w:t xml:space="preserve">Statement: </w:t>
      </w:r>
      <w:r w:rsidR="00CB4959" w:rsidRPr="0042729B">
        <w:rPr>
          <w:rFonts w:asciiTheme="majorHAnsi" w:hAnsiTheme="majorHAnsi"/>
          <w:color w:val="000000"/>
          <w:sz w:val="21"/>
          <w:szCs w:val="21"/>
        </w:rPr>
        <w:t xml:space="preserve">Governments have committed to ensuring no one is left behind in UHC. Yet today, 1.3 billion persons with disabilities continue to experience lower quality services or find the healthcare they need is inaccessible and unaffordable. Many face catastrophic health expenditure and poverty, and much poorer health outcomes. </w:t>
      </w:r>
    </w:p>
    <w:p w14:paraId="51F5AB18" w14:textId="77777777" w:rsidR="00CB4959" w:rsidRPr="0042729B" w:rsidRDefault="00CB4959" w:rsidP="007E5719">
      <w:pPr>
        <w:pStyle w:val="NormalWeb"/>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t xml:space="preserve">UHC will only be achieved through concerted action to tackle these inequities across the continuum of care, with specific investments to reach those at greatest risk of being left behind. </w:t>
      </w:r>
    </w:p>
    <w:p w14:paraId="58B19A9F" w14:textId="36227456" w:rsidR="00CB4959" w:rsidRPr="0042729B" w:rsidRDefault="00CB4959" w:rsidP="007E5719">
      <w:pPr>
        <w:pStyle w:val="NormalWeb"/>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t>This requires making health systems more inclusive through people-centred, rights-based, community-based and whole of society approaches founded upon primary health care – actions that benefit everyone.</w:t>
      </w:r>
    </w:p>
    <w:p w14:paraId="3085BCF9" w14:textId="77777777" w:rsidR="00CB4959" w:rsidRPr="0042729B" w:rsidRDefault="00CB4959" w:rsidP="007E5719">
      <w:pPr>
        <w:pStyle w:val="NormalWeb"/>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t>Population ageing and escalating prevalence of non-communicable and poverty-related communicable diseases that cause long-term impairments make this an urgent priority.</w:t>
      </w:r>
    </w:p>
    <w:p w14:paraId="15AF75ED" w14:textId="77777777" w:rsidR="00CB4959" w:rsidRPr="0042729B" w:rsidRDefault="00CB4959" w:rsidP="007E5719">
      <w:pPr>
        <w:pStyle w:val="NormalWeb"/>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t>We urge Member States to:</w:t>
      </w:r>
    </w:p>
    <w:p w14:paraId="128714C7" w14:textId="77777777" w:rsidR="00CB4959" w:rsidRPr="0042729B" w:rsidRDefault="00CB4959" w:rsidP="007E5719">
      <w:pPr>
        <w:pStyle w:val="NormalWeb"/>
        <w:numPr>
          <w:ilvl w:val="0"/>
          <w:numId w:val="49"/>
        </w:numPr>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t>Champion health equity for persons with disabilities and older people and uphold their right to health. This must ensure non-discrimination, progressive universalism, and inclusive health financing and governance with the full participation of persons with disabilities, recognising that they are among those with the greatest needs but often left furthest behind.</w:t>
      </w:r>
    </w:p>
    <w:p w14:paraId="08532BC6" w14:textId="77777777" w:rsidR="00CB4959" w:rsidRPr="0042729B" w:rsidRDefault="00CB4959" w:rsidP="007E5719">
      <w:pPr>
        <w:pStyle w:val="NormalWeb"/>
        <w:numPr>
          <w:ilvl w:val="0"/>
          <w:numId w:val="49"/>
        </w:numPr>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lastRenderedPageBreak/>
        <w:t>Ensure accessibility of person-centred primary health care close to where people live and reaching the furthest behind first, with essential service packages that enable persons with disabilities to enjoy their right to health-related goods, facilities, services and information that meet their physical and mental health needs across the continuum of care, throughout the life course and on an equal basis with others. This must ensure expanded coverage and improved accessibility of mental health services, sexual and reproductive health services; health information; nutrition services; vision, hearing, oral and skin health services; dementia services; neglected tropical diseases and wider communicable and non-communicable disease prevention and care; immunization; rehabilitation and assistive products; palliative and end of life care; and integrated, long-term and rights-based care and support within the community.</w:t>
      </w:r>
    </w:p>
    <w:p w14:paraId="2DDCDAB2" w14:textId="77777777" w:rsidR="00CB4959" w:rsidRPr="0042729B" w:rsidRDefault="00CB4959" w:rsidP="007E5719">
      <w:pPr>
        <w:pStyle w:val="NormalWeb"/>
        <w:numPr>
          <w:ilvl w:val="0"/>
          <w:numId w:val="49"/>
        </w:numPr>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t>Strengthen political leadership and country ownership of the fight against eye and skin related NTDs, fully integrated with UHC approaches.</w:t>
      </w:r>
    </w:p>
    <w:p w14:paraId="4F99F002" w14:textId="36F95C81" w:rsidR="00CB4959" w:rsidRPr="0042729B" w:rsidRDefault="00CB4959" w:rsidP="007E5719">
      <w:pPr>
        <w:pStyle w:val="NormalWeb"/>
        <w:numPr>
          <w:ilvl w:val="0"/>
          <w:numId w:val="49"/>
        </w:numPr>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t>Ensure systematic disaggregation of health-related data by gender, age, disability and other characteristics, to inform equity-based decision-making focused on access to essential health benefits packages, primary health care, and financial protection.</w:t>
      </w:r>
    </w:p>
    <w:p w14:paraId="46C56F20" w14:textId="77777777" w:rsidR="00CB4959" w:rsidRPr="0042729B" w:rsidRDefault="00CB4959" w:rsidP="007E5719">
      <w:pPr>
        <w:pStyle w:val="NormalWeb"/>
        <w:numPr>
          <w:ilvl w:val="0"/>
          <w:numId w:val="49"/>
        </w:numPr>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t>Ensure standards, competencies and training on disability inclusion for the health and care workforce and all service providers.</w:t>
      </w:r>
    </w:p>
    <w:p w14:paraId="5A39BBE3" w14:textId="131FD1EF" w:rsidR="00D11CFA" w:rsidRPr="0042729B" w:rsidRDefault="00CB4959" w:rsidP="007E5719">
      <w:pPr>
        <w:pStyle w:val="NormalWeb"/>
        <w:numPr>
          <w:ilvl w:val="0"/>
          <w:numId w:val="49"/>
        </w:numPr>
        <w:spacing w:before="240" w:after="240"/>
        <w:ind w:right="-941"/>
        <w:rPr>
          <w:rFonts w:asciiTheme="majorHAnsi" w:hAnsiTheme="majorHAnsi"/>
          <w:color w:val="000000"/>
          <w:sz w:val="21"/>
          <w:szCs w:val="21"/>
        </w:rPr>
      </w:pPr>
      <w:r w:rsidRPr="0042729B">
        <w:rPr>
          <w:rFonts w:asciiTheme="majorHAnsi" w:hAnsiTheme="majorHAnsi"/>
          <w:color w:val="000000"/>
          <w:sz w:val="21"/>
          <w:szCs w:val="21"/>
        </w:rPr>
        <w:t>Meaningfully engage persons with disabilities of all ages at all levels.</w:t>
      </w:r>
    </w:p>
    <w:p w14:paraId="4E491837" w14:textId="77777777" w:rsidR="00112F1C" w:rsidRPr="0042729B" w:rsidRDefault="00112F1C" w:rsidP="007E5719">
      <w:pPr>
        <w:ind w:right="-941"/>
        <w:rPr>
          <w:rFonts w:asciiTheme="majorHAnsi" w:hAnsiTheme="majorHAnsi"/>
          <w:sz w:val="21"/>
          <w:szCs w:val="21"/>
        </w:rPr>
      </w:pPr>
    </w:p>
    <w:p w14:paraId="57C1647D" w14:textId="448ECFEC" w:rsidR="0007475B" w:rsidRPr="0042729B" w:rsidRDefault="0007475B" w:rsidP="007E5719">
      <w:pPr>
        <w:pStyle w:val="Heading3"/>
        <w:ind w:right="-941"/>
        <w:rPr>
          <w:rFonts w:asciiTheme="majorHAnsi" w:hAnsiTheme="majorHAnsi"/>
          <w:sz w:val="21"/>
          <w:szCs w:val="21"/>
        </w:rPr>
      </w:pPr>
      <w:r w:rsidRPr="0042729B">
        <w:rPr>
          <w:rFonts w:asciiTheme="majorHAnsi" w:hAnsiTheme="majorHAnsi"/>
          <w:sz w:val="21"/>
          <w:szCs w:val="21"/>
        </w:rPr>
        <w:t>Agenda item 13.2 Political declaration of the third high-level meeting of the General Assembly on the prevention and control of non-communicable diseases, and mental health</w:t>
      </w:r>
    </w:p>
    <w:p w14:paraId="616E215A" w14:textId="77777777" w:rsidR="006253CB" w:rsidRPr="0042729B" w:rsidRDefault="006253CB" w:rsidP="007E5719">
      <w:pPr>
        <w:pStyle w:val="NormalWeb"/>
        <w:spacing w:before="0" w:beforeAutospacing="0" w:after="0" w:afterAutospacing="0"/>
        <w:ind w:right="-941"/>
        <w:textAlignment w:val="baseline"/>
        <w:rPr>
          <w:rFonts w:asciiTheme="majorHAnsi" w:hAnsiTheme="majorHAnsi"/>
          <w:b/>
          <w:bCs/>
          <w:sz w:val="21"/>
          <w:szCs w:val="21"/>
        </w:rPr>
      </w:pPr>
    </w:p>
    <w:p w14:paraId="7ED13CFC" w14:textId="1CA2E22D" w:rsidR="00A8727B" w:rsidRPr="0042729B" w:rsidRDefault="00B056E5" w:rsidP="007E5719">
      <w:pPr>
        <w:pStyle w:val="NormalWeb"/>
        <w:spacing w:before="0" w:beforeAutospacing="0" w:after="0" w:afterAutospacing="0"/>
        <w:ind w:right="-941"/>
        <w:textAlignment w:val="baseline"/>
        <w:rPr>
          <w:rFonts w:asciiTheme="majorHAnsi" w:hAnsiTheme="majorHAnsi" w:cs="Arial"/>
          <w:color w:val="000000"/>
          <w:sz w:val="21"/>
          <w:szCs w:val="21"/>
        </w:rPr>
      </w:pPr>
      <w:r w:rsidRPr="0042729B">
        <w:rPr>
          <w:rFonts w:asciiTheme="majorHAnsi" w:hAnsiTheme="majorHAnsi"/>
          <w:b/>
          <w:bCs/>
          <w:sz w:val="21"/>
          <w:szCs w:val="21"/>
        </w:rPr>
        <w:t>Constituency statement by</w:t>
      </w:r>
      <w:r w:rsidRPr="0042729B">
        <w:rPr>
          <w:rFonts w:asciiTheme="majorHAnsi" w:hAnsiTheme="majorHAnsi"/>
          <w:sz w:val="21"/>
          <w:szCs w:val="21"/>
        </w:rPr>
        <w:t>:</w:t>
      </w:r>
      <w:r w:rsidR="00A8727B" w:rsidRPr="0042729B">
        <w:rPr>
          <w:rFonts w:asciiTheme="majorHAnsi" w:hAnsiTheme="majorHAnsi" w:cs="Arial"/>
          <w:color w:val="000000"/>
          <w:sz w:val="21"/>
          <w:szCs w:val="21"/>
        </w:rPr>
        <w:t xml:space="preserve"> </w:t>
      </w:r>
      <w:r w:rsidR="00F27649" w:rsidRPr="0042729B">
        <w:rPr>
          <w:rFonts w:asciiTheme="majorHAnsi" w:hAnsiTheme="majorHAnsi" w:cs="Arial"/>
          <w:color w:val="000000"/>
          <w:sz w:val="21"/>
          <w:szCs w:val="21"/>
        </w:rPr>
        <w:t xml:space="preserve">European Society for Medical Oncology, HelpAge International, </w:t>
      </w:r>
      <w:r w:rsidR="00A8727B" w:rsidRPr="0042729B">
        <w:rPr>
          <w:rFonts w:asciiTheme="majorHAnsi" w:hAnsiTheme="majorHAnsi" w:cs="Arial"/>
          <w:color w:val="000000"/>
          <w:sz w:val="21"/>
          <w:szCs w:val="21"/>
        </w:rPr>
        <w:t>International Association for Hospice and Palliative Care</w:t>
      </w:r>
      <w:r w:rsidR="00F27649">
        <w:rPr>
          <w:rFonts w:asciiTheme="majorHAnsi" w:hAnsiTheme="majorHAnsi" w:cs="Arial"/>
          <w:color w:val="000000"/>
          <w:sz w:val="21"/>
          <w:szCs w:val="21"/>
        </w:rPr>
        <w:t xml:space="preserve">, The </w:t>
      </w:r>
      <w:r w:rsidR="00A8727B" w:rsidRPr="0042729B">
        <w:rPr>
          <w:rFonts w:asciiTheme="majorHAnsi" w:hAnsiTheme="majorHAnsi" w:cs="Arial"/>
          <w:color w:val="000000"/>
          <w:sz w:val="21"/>
          <w:szCs w:val="21"/>
        </w:rPr>
        <w:t>Royal Commonwealth Society for the Blind (</w:t>
      </w:r>
      <w:proofErr w:type="spellStart"/>
      <w:r w:rsidR="00A8727B" w:rsidRPr="0042729B">
        <w:rPr>
          <w:rFonts w:asciiTheme="majorHAnsi" w:hAnsiTheme="majorHAnsi" w:cs="Arial"/>
          <w:color w:val="000000"/>
          <w:sz w:val="21"/>
          <w:szCs w:val="21"/>
        </w:rPr>
        <w:t>Sightsavers</w:t>
      </w:r>
      <w:proofErr w:type="spellEnd"/>
      <w:r w:rsidR="00A8727B" w:rsidRPr="0042729B">
        <w:rPr>
          <w:rFonts w:asciiTheme="majorHAnsi" w:hAnsiTheme="majorHAnsi" w:cs="Arial"/>
          <w:color w:val="000000"/>
          <w:sz w:val="21"/>
          <w:szCs w:val="21"/>
        </w:rPr>
        <w:t>)</w:t>
      </w:r>
      <w:r w:rsidR="00F27649">
        <w:rPr>
          <w:rFonts w:asciiTheme="majorHAnsi" w:hAnsiTheme="majorHAnsi" w:cs="Arial"/>
          <w:color w:val="000000"/>
          <w:sz w:val="21"/>
          <w:szCs w:val="21"/>
        </w:rPr>
        <w:t>,</w:t>
      </w:r>
      <w:r w:rsidR="00F27649" w:rsidRPr="00F27649">
        <w:rPr>
          <w:rFonts w:asciiTheme="majorHAnsi" w:eastAsia="Times New Roman" w:hAnsiTheme="majorHAnsi" w:cs="Arial"/>
          <w:color w:val="000000"/>
          <w:sz w:val="21"/>
          <w:szCs w:val="21"/>
        </w:rPr>
        <w:t xml:space="preserve"> </w:t>
      </w:r>
      <w:r w:rsidR="00F27649" w:rsidRPr="0042729B">
        <w:rPr>
          <w:rFonts w:asciiTheme="majorHAnsi" w:eastAsia="Times New Roman" w:hAnsiTheme="majorHAnsi" w:cs="Arial"/>
          <w:color w:val="000000"/>
          <w:sz w:val="21"/>
          <w:szCs w:val="21"/>
        </w:rPr>
        <w:t>Union for International Cancer Control,</w:t>
      </w:r>
      <w:r w:rsidR="00F27649" w:rsidRPr="00F27649">
        <w:rPr>
          <w:rFonts w:asciiTheme="majorHAnsi" w:hAnsiTheme="majorHAnsi" w:cs="Arial"/>
          <w:color w:val="000000"/>
          <w:sz w:val="21"/>
          <w:szCs w:val="21"/>
        </w:rPr>
        <w:t xml:space="preserve"> </w:t>
      </w:r>
      <w:r w:rsidR="00F27649" w:rsidRPr="0042729B">
        <w:rPr>
          <w:rFonts w:asciiTheme="majorHAnsi" w:hAnsiTheme="majorHAnsi" w:cs="Arial"/>
          <w:color w:val="000000"/>
          <w:sz w:val="21"/>
          <w:szCs w:val="21"/>
        </w:rPr>
        <w:t>World Heart Federation</w:t>
      </w:r>
      <w:r w:rsidR="00F27649">
        <w:rPr>
          <w:rFonts w:asciiTheme="majorHAnsi" w:hAnsiTheme="majorHAnsi" w:cs="Arial"/>
          <w:color w:val="000000"/>
          <w:sz w:val="21"/>
          <w:szCs w:val="21"/>
        </w:rPr>
        <w:t xml:space="preserve">, and </w:t>
      </w:r>
      <w:r w:rsidR="00F27649" w:rsidRPr="0042729B">
        <w:rPr>
          <w:rFonts w:asciiTheme="majorHAnsi" w:hAnsiTheme="majorHAnsi" w:cs="Arial"/>
          <w:color w:val="000000"/>
          <w:sz w:val="21"/>
          <w:szCs w:val="21"/>
        </w:rPr>
        <w:t>Worldwide Hospice and Palliative Care Alliance</w:t>
      </w:r>
    </w:p>
    <w:p w14:paraId="57261284" w14:textId="77777777" w:rsidR="00A8727B" w:rsidRPr="0042729B" w:rsidRDefault="00A8727B" w:rsidP="007E5719">
      <w:pPr>
        <w:pStyle w:val="NormalWeb"/>
        <w:spacing w:before="0" w:beforeAutospacing="0" w:after="0" w:afterAutospacing="0"/>
        <w:ind w:right="-941"/>
        <w:textAlignment w:val="baseline"/>
        <w:rPr>
          <w:rFonts w:asciiTheme="majorHAnsi" w:hAnsiTheme="majorHAnsi" w:cs="Arial"/>
          <w:color w:val="000000"/>
          <w:sz w:val="21"/>
          <w:szCs w:val="21"/>
        </w:rPr>
      </w:pPr>
    </w:p>
    <w:p w14:paraId="387D8A5E" w14:textId="0FEC1059" w:rsidR="00A8727B" w:rsidRPr="0042729B" w:rsidRDefault="00E24E02" w:rsidP="007E5719">
      <w:pPr>
        <w:spacing w:after="0"/>
        <w:ind w:right="-941"/>
        <w:rPr>
          <w:rFonts w:asciiTheme="majorHAnsi" w:hAnsiTheme="majorHAnsi"/>
          <w:sz w:val="21"/>
          <w:szCs w:val="21"/>
          <w:lang w:eastAsia="en-GB"/>
        </w:rPr>
      </w:pPr>
      <w:r w:rsidRPr="0042729B">
        <w:rPr>
          <w:rFonts w:asciiTheme="majorHAnsi" w:hAnsiTheme="majorHAnsi"/>
          <w:b/>
          <w:bCs/>
          <w:color w:val="000000"/>
          <w:sz w:val="21"/>
          <w:szCs w:val="21"/>
        </w:rPr>
        <w:t>Statement</w:t>
      </w:r>
      <w:r w:rsidRPr="0042729B">
        <w:rPr>
          <w:rFonts w:asciiTheme="majorHAnsi" w:hAnsiTheme="majorHAnsi" w:cs="Arial"/>
          <w:color w:val="000000"/>
          <w:sz w:val="21"/>
          <w:szCs w:val="21"/>
          <w:lang w:eastAsia="en-GB"/>
        </w:rPr>
        <w:t xml:space="preserve">: </w:t>
      </w:r>
      <w:r w:rsidR="00A8727B" w:rsidRPr="0042729B">
        <w:rPr>
          <w:rFonts w:asciiTheme="majorHAnsi" w:hAnsiTheme="majorHAnsi" w:cs="Arial"/>
          <w:color w:val="000000"/>
          <w:sz w:val="21"/>
          <w:szCs w:val="21"/>
          <w:lang w:eastAsia="en-GB"/>
        </w:rPr>
        <w:t xml:space="preserve">We commend the WHO on its work to expand Appendix 3 as an essential tool that supports effective action on Non-Communicable Diseases, and </w:t>
      </w:r>
      <w:hyperlink r:id="rId12" w:history="1">
        <w:r w:rsidR="00A8727B" w:rsidRPr="0042729B">
          <w:rPr>
            <w:rFonts w:asciiTheme="majorHAnsi" w:hAnsiTheme="majorHAnsi" w:cs="Arial"/>
            <w:color w:val="1155CC"/>
            <w:sz w:val="21"/>
            <w:szCs w:val="21"/>
            <w:u w:val="single"/>
            <w:lang w:eastAsia="en-GB"/>
          </w:rPr>
          <w:t>support statement led by NCD Alliance</w:t>
        </w:r>
      </w:hyperlink>
      <w:r w:rsidR="00A8727B" w:rsidRPr="0042729B">
        <w:rPr>
          <w:rFonts w:asciiTheme="majorHAnsi" w:hAnsiTheme="majorHAnsi" w:cs="Arial"/>
          <w:color w:val="000000"/>
          <w:sz w:val="21"/>
          <w:szCs w:val="21"/>
          <w:lang w:eastAsia="en-GB"/>
        </w:rPr>
        <w:t>. </w:t>
      </w:r>
    </w:p>
    <w:p w14:paraId="433211D6" w14:textId="77777777" w:rsidR="00A8727B" w:rsidRPr="0042729B" w:rsidRDefault="00A8727B" w:rsidP="007E5719">
      <w:pPr>
        <w:spacing w:after="0"/>
        <w:ind w:right="-941"/>
        <w:rPr>
          <w:rFonts w:asciiTheme="majorHAnsi" w:hAnsiTheme="majorHAnsi"/>
          <w:sz w:val="21"/>
          <w:szCs w:val="21"/>
          <w:lang w:eastAsia="en-GB"/>
        </w:rPr>
      </w:pPr>
    </w:p>
    <w:p w14:paraId="72E328D6" w14:textId="6C5B0929" w:rsidR="00A8727B" w:rsidRPr="0042729B" w:rsidRDefault="00A8727B" w:rsidP="007E5719">
      <w:pPr>
        <w:spacing w:after="0"/>
        <w:ind w:right="-941"/>
        <w:rPr>
          <w:rFonts w:asciiTheme="majorHAnsi" w:hAnsiTheme="majorHAnsi"/>
          <w:sz w:val="21"/>
          <w:szCs w:val="21"/>
          <w:lang w:eastAsia="en-GB"/>
        </w:rPr>
      </w:pPr>
      <w:r w:rsidRPr="0042729B">
        <w:rPr>
          <w:rFonts w:asciiTheme="majorHAnsi" w:hAnsiTheme="majorHAnsi" w:cs="Arial"/>
          <w:color w:val="000000"/>
          <w:sz w:val="21"/>
          <w:szCs w:val="21"/>
          <w:lang w:eastAsia="en-GB"/>
        </w:rPr>
        <w:t>Action on NCDs is more urgent than ever. The COVID-19 pandemic caused extensive disruption to NCD prevention, diagnosis, treatment and palliative care services, which will have far reaching impacts on suffering, mortality and rates of disability resulting from NCDs. As countries recover from the pandemic and review progress against UHC commitments at the UN High-Level Meeting later this year, investment and action on NCDs is critical. NCDs account for 74% of global mortality and 80% of years lived with disability across the life-course, therefore UHC cannot be achieved without a comprehensive NCD service package.</w:t>
      </w:r>
    </w:p>
    <w:p w14:paraId="0FA2A1BE" w14:textId="77777777" w:rsidR="00A8727B" w:rsidRPr="0042729B" w:rsidRDefault="00A8727B" w:rsidP="007E5719">
      <w:pPr>
        <w:spacing w:after="0"/>
        <w:ind w:right="-941"/>
        <w:rPr>
          <w:rFonts w:asciiTheme="majorHAnsi" w:hAnsiTheme="majorHAnsi"/>
          <w:sz w:val="21"/>
          <w:szCs w:val="21"/>
          <w:lang w:eastAsia="en-GB"/>
        </w:rPr>
      </w:pPr>
    </w:p>
    <w:p w14:paraId="6D239D35" w14:textId="3425F94D" w:rsidR="00A8727B" w:rsidRPr="0042729B" w:rsidRDefault="00A8727B" w:rsidP="007E5719">
      <w:pPr>
        <w:spacing w:after="0"/>
        <w:ind w:right="-941"/>
        <w:rPr>
          <w:rFonts w:asciiTheme="majorHAnsi" w:hAnsiTheme="majorHAnsi" w:cs="Arial"/>
          <w:color w:val="000000"/>
          <w:sz w:val="21"/>
          <w:szCs w:val="21"/>
          <w:lang w:eastAsia="en-GB"/>
        </w:rPr>
      </w:pPr>
      <w:r w:rsidRPr="0042729B">
        <w:rPr>
          <w:rFonts w:asciiTheme="majorHAnsi" w:hAnsiTheme="majorHAnsi" w:cs="Arial"/>
          <w:color w:val="000000"/>
          <w:sz w:val="21"/>
          <w:szCs w:val="21"/>
          <w:lang w:eastAsia="en-GB"/>
        </w:rPr>
        <w:t xml:space="preserve">To foster effective </w:t>
      </w:r>
      <w:r w:rsidR="007E5CCC" w:rsidRPr="0042729B">
        <w:rPr>
          <w:rFonts w:asciiTheme="majorHAnsi" w:hAnsiTheme="majorHAnsi" w:cs="Arial"/>
          <w:color w:val="000000"/>
          <w:sz w:val="21"/>
          <w:szCs w:val="21"/>
          <w:lang w:eastAsia="en-GB"/>
        </w:rPr>
        <w:t>implementation,</w:t>
      </w:r>
      <w:r w:rsidRPr="0042729B">
        <w:rPr>
          <w:rFonts w:asciiTheme="majorHAnsi" w:hAnsiTheme="majorHAnsi" w:cs="Arial"/>
          <w:color w:val="000000"/>
          <w:sz w:val="21"/>
          <w:szCs w:val="21"/>
          <w:lang w:eastAsia="en-GB"/>
        </w:rPr>
        <w:t xml:space="preserve"> we urge Member States to: </w:t>
      </w:r>
    </w:p>
    <w:p w14:paraId="558F55B1" w14:textId="77777777" w:rsidR="007E5CCC" w:rsidRPr="0042729B" w:rsidRDefault="007E5CCC" w:rsidP="007E5719">
      <w:pPr>
        <w:spacing w:after="0"/>
        <w:ind w:right="-941"/>
        <w:rPr>
          <w:rFonts w:asciiTheme="majorHAnsi" w:hAnsiTheme="majorHAnsi"/>
          <w:sz w:val="21"/>
          <w:szCs w:val="21"/>
          <w:lang w:eastAsia="en-GB"/>
        </w:rPr>
      </w:pPr>
    </w:p>
    <w:p w14:paraId="0A52FA63" w14:textId="77777777" w:rsidR="00A8727B" w:rsidRPr="0042729B" w:rsidRDefault="00A8727B" w:rsidP="007E5719">
      <w:pPr>
        <w:numPr>
          <w:ilvl w:val="0"/>
          <w:numId w:val="47"/>
        </w:numPr>
        <w:spacing w:after="0"/>
        <w:ind w:right="-941"/>
        <w:textAlignment w:val="baseline"/>
        <w:rPr>
          <w:rFonts w:asciiTheme="majorHAnsi" w:hAnsiTheme="majorHAnsi" w:cs="Arial"/>
          <w:color w:val="000000"/>
          <w:sz w:val="21"/>
          <w:szCs w:val="21"/>
          <w:lang w:eastAsia="en-GB"/>
        </w:rPr>
      </w:pPr>
      <w:r w:rsidRPr="0042729B">
        <w:rPr>
          <w:rFonts w:asciiTheme="majorHAnsi" w:hAnsiTheme="majorHAnsi" w:cs="Arial"/>
          <w:color w:val="000000"/>
          <w:sz w:val="21"/>
          <w:szCs w:val="21"/>
          <w:lang w:eastAsia="en-GB"/>
        </w:rPr>
        <w:t>Utilise Appendix 3 in development and scale-up of national UHC benefit packages, ensuring a coherent patient pathway between detection, diagnosis and treatment, underpinned by rehabilitation and palliative care options as needed from the moment of diagnosis</w:t>
      </w:r>
    </w:p>
    <w:p w14:paraId="2C5C4C75" w14:textId="77777777" w:rsidR="00A8727B" w:rsidRPr="0042729B" w:rsidRDefault="00A8727B" w:rsidP="007E5719">
      <w:pPr>
        <w:numPr>
          <w:ilvl w:val="0"/>
          <w:numId w:val="47"/>
        </w:numPr>
        <w:spacing w:after="0"/>
        <w:ind w:right="-941"/>
        <w:textAlignment w:val="baseline"/>
        <w:rPr>
          <w:rFonts w:asciiTheme="majorHAnsi" w:hAnsiTheme="majorHAnsi" w:cs="Arial"/>
          <w:color w:val="000000"/>
          <w:sz w:val="21"/>
          <w:szCs w:val="21"/>
          <w:lang w:eastAsia="en-GB"/>
        </w:rPr>
      </w:pPr>
      <w:r w:rsidRPr="0042729B">
        <w:rPr>
          <w:rFonts w:asciiTheme="majorHAnsi" w:hAnsiTheme="majorHAnsi" w:cs="Arial"/>
          <w:color w:val="000000"/>
          <w:sz w:val="21"/>
          <w:szCs w:val="21"/>
          <w:lang w:eastAsia="en-GB"/>
        </w:rPr>
        <w:t>Plan for the progressive implementation of core NCD interventions, including costing for and adequate and adequate sustainable investments</w:t>
      </w:r>
    </w:p>
    <w:p w14:paraId="6BEDE996" w14:textId="77777777" w:rsidR="00A8727B" w:rsidRPr="0042729B" w:rsidRDefault="00A8727B" w:rsidP="007E5719">
      <w:pPr>
        <w:numPr>
          <w:ilvl w:val="0"/>
          <w:numId w:val="47"/>
        </w:numPr>
        <w:spacing w:after="0"/>
        <w:ind w:right="-941"/>
        <w:textAlignment w:val="baseline"/>
        <w:rPr>
          <w:rFonts w:asciiTheme="majorHAnsi" w:hAnsiTheme="majorHAnsi" w:cs="Arial"/>
          <w:color w:val="000000"/>
          <w:sz w:val="21"/>
          <w:szCs w:val="21"/>
          <w:lang w:eastAsia="en-GB"/>
        </w:rPr>
      </w:pPr>
      <w:r w:rsidRPr="0042729B">
        <w:rPr>
          <w:rFonts w:asciiTheme="majorHAnsi" w:hAnsiTheme="majorHAnsi" w:cs="Arial"/>
          <w:color w:val="000000"/>
          <w:sz w:val="21"/>
          <w:szCs w:val="21"/>
          <w:lang w:eastAsia="en-GB"/>
        </w:rPr>
        <w:t xml:space="preserve">Integrate NCD, palliative care and rehabilitation services into existing NCD healthcare infrastructure, educational curricula and programs to equip </w:t>
      </w:r>
      <w:r w:rsidRPr="0042729B">
        <w:rPr>
          <w:rFonts w:asciiTheme="majorHAnsi" w:hAnsiTheme="majorHAnsi" w:cs="Arial"/>
          <w:color w:val="000000"/>
          <w:sz w:val="21"/>
          <w:szCs w:val="21"/>
          <w:lang w:eastAsia="en-GB"/>
        </w:rPr>
        <w:lastRenderedPageBreak/>
        <w:t>healthcare providers with the tools and knowledge to deliver rights-based and person-centred care</w:t>
      </w:r>
    </w:p>
    <w:p w14:paraId="21270B77" w14:textId="77777777" w:rsidR="00A8727B" w:rsidRPr="0042729B" w:rsidRDefault="00A8727B" w:rsidP="007E5719">
      <w:pPr>
        <w:numPr>
          <w:ilvl w:val="0"/>
          <w:numId w:val="47"/>
        </w:numPr>
        <w:spacing w:after="0"/>
        <w:ind w:right="-941"/>
        <w:textAlignment w:val="baseline"/>
        <w:rPr>
          <w:rFonts w:asciiTheme="majorHAnsi" w:hAnsiTheme="majorHAnsi" w:cs="Arial"/>
          <w:color w:val="000000"/>
          <w:sz w:val="21"/>
          <w:szCs w:val="21"/>
          <w:lang w:eastAsia="en-GB"/>
        </w:rPr>
      </w:pPr>
      <w:r w:rsidRPr="0042729B">
        <w:rPr>
          <w:rFonts w:asciiTheme="majorHAnsi" w:hAnsiTheme="majorHAnsi" w:cs="Arial"/>
          <w:color w:val="000000"/>
          <w:sz w:val="21"/>
          <w:szCs w:val="21"/>
          <w:lang w:eastAsia="en-GB"/>
        </w:rPr>
        <w:t>Ensure that services are accessible to all, including those in low resource settings, older persons and persons with disabilities, taking into account that NCDs are often the underlying conditions for persons with disabilities</w:t>
      </w:r>
    </w:p>
    <w:p w14:paraId="71EFA453" w14:textId="77777777" w:rsidR="00A8727B" w:rsidRPr="0042729B" w:rsidRDefault="00A8727B" w:rsidP="007E5719">
      <w:pPr>
        <w:numPr>
          <w:ilvl w:val="0"/>
          <w:numId w:val="47"/>
        </w:numPr>
        <w:spacing w:after="0"/>
        <w:ind w:right="-941"/>
        <w:textAlignment w:val="baseline"/>
        <w:rPr>
          <w:rFonts w:asciiTheme="majorHAnsi" w:hAnsiTheme="majorHAnsi" w:cs="Arial"/>
          <w:color w:val="000000"/>
          <w:sz w:val="21"/>
          <w:szCs w:val="21"/>
          <w:lang w:eastAsia="en-GB"/>
        </w:rPr>
      </w:pPr>
      <w:r w:rsidRPr="0042729B">
        <w:rPr>
          <w:rFonts w:asciiTheme="majorHAnsi" w:hAnsiTheme="majorHAnsi" w:cs="Arial"/>
          <w:color w:val="000000"/>
          <w:sz w:val="21"/>
          <w:szCs w:val="21"/>
          <w:lang w:eastAsia="en-GB"/>
        </w:rPr>
        <w:t>Invest in comprehensive disease surveillance systems to monitor the effectiveness of NCD interventions, noting the need to remove discriminatory upper age-caps, and collect, analyse, report and use gender-, age- and disability-disaggregated data to ensure that policies and UHC packages address, rather than duplicate, health inequities</w:t>
      </w:r>
    </w:p>
    <w:p w14:paraId="11800B07" w14:textId="77777777" w:rsidR="00A8727B" w:rsidRPr="0042729B" w:rsidRDefault="00A8727B" w:rsidP="007E5719">
      <w:pPr>
        <w:numPr>
          <w:ilvl w:val="0"/>
          <w:numId w:val="47"/>
        </w:numPr>
        <w:spacing w:after="0"/>
        <w:ind w:right="-941"/>
        <w:textAlignment w:val="baseline"/>
        <w:rPr>
          <w:rFonts w:asciiTheme="majorHAnsi" w:hAnsiTheme="majorHAnsi" w:cs="Arial"/>
          <w:color w:val="000000"/>
          <w:sz w:val="21"/>
          <w:szCs w:val="21"/>
          <w:lang w:eastAsia="en-GB"/>
        </w:rPr>
      </w:pPr>
      <w:r w:rsidRPr="0042729B">
        <w:rPr>
          <w:rFonts w:asciiTheme="majorHAnsi" w:hAnsiTheme="majorHAnsi" w:cs="Arial"/>
          <w:color w:val="000000"/>
          <w:sz w:val="21"/>
          <w:szCs w:val="21"/>
          <w:lang w:eastAsia="en-GB"/>
        </w:rPr>
        <w:t>Include NCD care into national health emergency strategies to ensure the continuation of essential service packages</w:t>
      </w:r>
    </w:p>
    <w:p w14:paraId="7833BD38" w14:textId="77777777" w:rsidR="00A8727B" w:rsidRPr="0042729B" w:rsidRDefault="00A8727B" w:rsidP="007E5719">
      <w:pPr>
        <w:numPr>
          <w:ilvl w:val="0"/>
          <w:numId w:val="47"/>
        </w:numPr>
        <w:spacing w:after="0"/>
        <w:ind w:right="-941"/>
        <w:textAlignment w:val="baseline"/>
        <w:rPr>
          <w:rFonts w:asciiTheme="majorHAnsi" w:hAnsiTheme="majorHAnsi" w:cs="Arial"/>
          <w:color w:val="000000"/>
          <w:sz w:val="21"/>
          <w:szCs w:val="21"/>
          <w:lang w:eastAsia="en-GB"/>
        </w:rPr>
      </w:pPr>
      <w:r w:rsidRPr="0042729B">
        <w:rPr>
          <w:rFonts w:asciiTheme="majorHAnsi" w:hAnsiTheme="majorHAnsi" w:cs="Arial"/>
          <w:color w:val="000000"/>
          <w:sz w:val="21"/>
          <w:szCs w:val="21"/>
          <w:lang w:eastAsia="en-GB"/>
        </w:rPr>
        <w:t>Leverage the resources of civil society for implementation of relevant actions at the national level.</w:t>
      </w:r>
    </w:p>
    <w:p w14:paraId="47FC6FAC" w14:textId="77777777" w:rsidR="00A8727B" w:rsidRPr="0042729B" w:rsidRDefault="00A8727B" w:rsidP="007E5719">
      <w:pPr>
        <w:pStyle w:val="NormalWeb"/>
        <w:spacing w:before="0" w:beforeAutospacing="0" w:after="0" w:afterAutospacing="0"/>
        <w:ind w:right="-941"/>
        <w:textAlignment w:val="baseline"/>
        <w:rPr>
          <w:rFonts w:asciiTheme="majorHAnsi" w:hAnsiTheme="majorHAnsi" w:cs="Arial"/>
          <w:color w:val="000000"/>
          <w:sz w:val="21"/>
          <w:szCs w:val="21"/>
        </w:rPr>
      </w:pPr>
    </w:p>
    <w:p w14:paraId="1BC2370C" w14:textId="4AF7539A" w:rsidR="0007475B" w:rsidRPr="0042729B" w:rsidRDefault="0007475B" w:rsidP="007E5719">
      <w:pPr>
        <w:pStyle w:val="Heading3"/>
        <w:ind w:right="-941"/>
        <w:rPr>
          <w:rFonts w:asciiTheme="majorHAnsi" w:hAnsiTheme="majorHAnsi"/>
          <w:sz w:val="21"/>
          <w:szCs w:val="21"/>
        </w:rPr>
      </w:pPr>
      <w:r w:rsidRPr="0042729B">
        <w:rPr>
          <w:rFonts w:asciiTheme="majorHAnsi" w:hAnsiTheme="majorHAnsi"/>
          <w:sz w:val="21"/>
          <w:szCs w:val="21"/>
        </w:rPr>
        <w:t>Agenda item 15.1 Strengthening WHO preparedness for and response to health emergencies</w:t>
      </w:r>
    </w:p>
    <w:p w14:paraId="1B28D19B" w14:textId="14128301" w:rsidR="00B056E5" w:rsidRPr="0042729B" w:rsidRDefault="00A8727B" w:rsidP="007E5719">
      <w:pPr>
        <w:ind w:right="-941"/>
        <w:rPr>
          <w:rFonts w:asciiTheme="majorHAnsi" w:hAnsiTheme="majorHAnsi"/>
          <w:sz w:val="21"/>
          <w:szCs w:val="21"/>
        </w:rPr>
      </w:pPr>
      <w:r w:rsidRPr="0042729B">
        <w:rPr>
          <w:rFonts w:asciiTheme="majorHAnsi" w:hAnsiTheme="majorHAnsi"/>
          <w:b/>
          <w:bCs/>
          <w:sz w:val="21"/>
          <w:szCs w:val="21"/>
        </w:rPr>
        <w:t>Constituency statement by</w:t>
      </w:r>
      <w:r w:rsidRPr="0042729B">
        <w:rPr>
          <w:rFonts w:asciiTheme="majorHAnsi" w:hAnsiTheme="majorHAnsi"/>
          <w:sz w:val="21"/>
          <w:szCs w:val="21"/>
        </w:rPr>
        <w:t>:</w:t>
      </w:r>
      <w:r w:rsidR="005914BD" w:rsidRPr="0042729B">
        <w:rPr>
          <w:rFonts w:asciiTheme="majorHAnsi" w:hAnsiTheme="majorHAnsi"/>
          <w:sz w:val="21"/>
          <w:szCs w:val="21"/>
        </w:rPr>
        <w:t xml:space="preserve"> Save the Children, Royal Commonwealth Society for the Blind (</w:t>
      </w:r>
      <w:proofErr w:type="spellStart"/>
      <w:r w:rsidR="005914BD" w:rsidRPr="0042729B">
        <w:rPr>
          <w:rFonts w:asciiTheme="majorHAnsi" w:hAnsiTheme="majorHAnsi"/>
          <w:sz w:val="21"/>
          <w:szCs w:val="21"/>
        </w:rPr>
        <w:t>Sightsavers</w:t>
      </w:r>
      <w:proofErr w:type="spellEnd"/>
      <w:r w:rsidR="005914BD" w:rsidRPr="0042729B">
        <w:rPr>
          <w:rFonts w:asciiTheme="majorHAnsi" w:hAnsiTheme="majorHAnsi"/>
          <w:sz w:val="21"/>
          <w:szCs w:val="21"/>
        </w:rPr>
        <w:t>), Global Health Council, GNP+, HelpAge International, International Federation on Ageing and NCD Alliance</w:t>
      </w:r>
    </w:p>
    <w:p w14:paraId="02829C97" w14:textId="660D579E" w:rsidR="00E24E02" w:rsidRPr="00E24E02" w:rsidRDefault="00E24E02" w:rsidP="007E5719">
      <w:pPr>
        <w:spacing w:before="120"/>
        <w:ind w:right="-941"/>
        <w:jc w:val="both"/>
        <w:rPr>
          <w:rFonts w:asciiTheme="majorHAnsi" w:hAnsiTheme="majorHAnsi"/>
          <w:sz w:val="21"/>
          <w:szCs w:val="21"/>
          <w:lang w:eastAsia="en-GB"/>
        </w:rPr>
      </w:pPr>
      <w:r w:rsidRPr="0042729B">
        <w:rPr>
          <w:rFonts w:asciiTheme="majorHAnsi" w:hAnsiTheme="majorHAnsi"/>
          <w:b/>
          <w:bCs/>
          <w:sz w:val="21"/>
          <w:szCs w:val="21"/>
        </w:rPr>
        <w:t xml:space="preserve">Statement: </w:t>
      </w:r>
      <w:r w:rsidRPr="00E24E02">
        <w:rPr>
          <w:rFonts w:asciiTheme="majorHAnsi" w:hAnsiTheme="majorHAnsi" w:cs="Arial"/>
          <w:color w:val="000000"/>
          <w:sz w:val="21"/>
          <w:szCs w:val="21"/>
          <w:lang w:eastAsia="en-GB"/>
        </w:rPr>
        <w:t>COVID-19 brought on an unprecedented crisis for people, particularly for those at higher risk and in vulnerable situations, putting their physical, mental health and wellbeing in jeopardy. </w:t>
      </w:r>
    </w:p>
    <w:p w14:paraId="67BDF743" w14:textId="77777777" w:rsidR="00E24E02" w:rsidRPr="00E24E02" w:rsidRDefault="00E24E02" w:rsidP="007E5719">
      <w:pPr>
        <w:spacing w:before="120"/>
        <w:ind w:right="-941"/>
        <w:jc w:val="both"/>
        <w:rPr>
          <w:rFonts w:asciiTheme="majorHAnsi" w:hAnsiTheme="majorHAnsi"/>
          <w:sz w:val="21"/>
          <w:szCs w:val="21"/>
          <w:lang w:eastAsia="en-GB"/>
        </w:rPr>
      </w:pPr>
      <w:r w:rsidRPr="00E24E02">
        <w:rPr>
          <w:rFonts w:asciiTheme="majorHAnsi" w:hAnsiTheme="majorHAnsi" w:cs="Arial"/>
          <w:color w:val="000000"/>
          <w:sz w:val="21"/>
          <w:szCs w:val="21"/>
          <w:lang w:eastAsia="en-GB"/>
        </w:rPr>
        <w:t xml:space="preserve">Combined with the effects of conflicts and the climate crisis, the pandemic has exacerbated inequities in access to essential services including health and nutrition, care and support, WASH, education, and shone a light on the need to adopt a </w:t>
      </w:r>
      <w:r w:rsidRPr="00E24E02">
        <w:rPr>
          <w:rFonts w:asciiTheme="majorHAnsi" w:hAnsiTheme="majorHAnsi" w:cs="Arial"/>
          <w:b/>
          <w:bCs/>
          <w:color w:val="000000"/>
          <w:sz w:val="21"/>
          <w:szCs w:val="21"/>
          <w:lang w:eastAsia="en-GB"/>
        </w:rPr>
        <w:t>multisectoral approach to prevent, prepare for and respond to health emergencies</w:t>
      </w:r>
      <w:r w:rsidRPr="00E24E02">
        <w:rPr>
          <w:rFonts w:asciiTheme="majorHAnsi" w:hAnsiTheme="majorHAnsi" w:cs="Arial"/>
          <w:color w:val="000000"/>
          <w:sz w:val="21"/>
          <w:szCs w:val="21"/>
          <w:lang w:eastAsia="en-GB"/>
        </w:rPr>
        <w:t>.</w:t>
      </w:r>
    </w:p>
    <w:p w14:paraId="7DC3BE33" w14:textId="77777777" w:rsidR="00E24E02" w:rsidRPr="00E24E02" w:rsidRDefault="00E24E02" w:rsidP="007E5719">
      <w:pPr>
        <w:spacing w:before="120"/>
        <w:ind w:right="-941"/>
        <w:jc w:val="both"/>
        <w:rPr>
          <w:rFonts w:asciiTheme="majorHAnsi" w:hAnsiTheme="majorHAnsi"/>
          <w:sz w:val="21"/>
          <w:szCs w:val="21"/>
          <w:lang w:eastAsia="en-GB"/>
        </w:rPr>
      </w:pPr>
      <w:r w:rsidRPr="00E24E02">
        <w:rPr>
          <w:rFonts w:asciiTheme="majorHAnsi" w:hAnsiTheme="majorHAnsi" w:cs="Arial"/>
          <w:color w:val="000000"/>
          <w:sz w:val="21"/>
          <w:szCs w:val="21"/>
          <w:lang w:eastAsia="en-GB"/>
        </w:rPr>
        <w:t>In order to preserve the life, health, dignity and wellbeing of all people, governments must:</w:t>
      </w:r>
    </w:p>
    <w:p w14:paraId="59649AD8" w14:textId="574807A1" w:rsidR="00E24E02" w:rsidRPr="00E24E02" w:rsidRDefault="00E24E02" w:rsidP="007E5719">
      <w:pPr>
        <w:numPr>
          <w:ilvl w:val="0"/>
          <w:numId w:val="50"/>
        </w:numPr>
        <w:spacing w:before="120" w:after="0"/>
        <w:ind w:right="-941"/>
        <w:jc w:val="both"/>
        <w:textAlignment w:val="baseline"/>
        <w:rPr>
          <w:rFonts w:asciiTheme="majorHAnsi" w:hAnsiTheme="majorHAnsi" w:cs="Arial"/>
          <w:color w:val="000000"/>
          <w:sz w:val="21"/>
          <w:szCs w:val="21"/>
          <w:lang w:eastAsia="en-GB"/>
        </w:rPr>
      </w:pPr>
      <w:r w:rsidRPr="00E24E02">
        <w:rPr>
          <w:rFonts w:asciiTheme="majorHAnsi" w:hAnsiTheme="majorHAnsi" w:cs="Arial"/>
          <w:b/>
          <w:bCs/>
          <w:color w:val="000000"/>
          <w:sz w:val="21"/>
          <w:szCs w:val="21"/>
          <w:lang w:eastAsia="en-GB"/>
        </w:rPr>
        <w:t>Champion equity among and between countries as a central element of the global health architecture</w:t>
      </w:r>
      <w:r w:rsidRPr="00E24E02">
        <w:rPr>
          <w:rFonts w:asciiTheme="majorHAnsi" w:hAnsiTheme="majorHAnsi" w:cs="Arial"/>
          <w:color w:val="000000"/>
          <w:sz w:val="21"/>
          <w:szCs w:val="21"/>
          <w:lang w:eastAsia="en-GB"/>
        </w:rPr>
        <w:t xml:space="preserve"> </w:t>
      </w:r>
      <w:r w:rsidRPr="00E24E02">
        <w:rPr>
          <w:rFonts w:asciiTheme="majorHAnsi" w:hAnsiTheme="majorHAnsi" w:cs="Arial"/>
          <w:b/>
          <w:bCs/>
          <w:color w:val="000000"/>
          <w:sz w:val="21"/>
          <w:szCs w:val="21"/>
          <w:lang w:eastAsia="en-GB"/>
        </w:rPr>
        <w:t>to prepare for future emergencies</w:t>
      </w:r>
      <w:r w:rsidRPr="00E24E02">
        <w:rPr>
          <w:rFonts w:asciiTheme="majorHAnsi" w:hAnsiTheme="majorHAnsi" w:cs="Arial"/>
          <w:color w:val="000000"/>
          <w:sz w:val="21"/>
          <w:szCs w:val="21"/>
          <w:lang w:eastAsia="en-GB"/>
        </w:rPr>
        <w:t xml:space="preserve"> and accelerate progress towards universal health coverage and the realisation of the right to health for all. Progressive realisation of UHC is vital to ensure healthy populations and resilience in the face of pandemic threats.</w:t>
      </w:r>
    </w:p>
    <w:p w14:paraId="0395351A" w14:textId="77777777" w:rsidR="00E24E02" w:rsidRPr="00E24E02" w:rsidRDefault="00E24E02" w:rsidP="007E5719">
      <w:pPr>
        <w:numPr>
          <w:ilvl w:val="0"/>
          <w:numId w:val="50"/>
        </w:numPr>
        <w:spacing w:after="0"/>
        <w:ind w:right="-941"/>
        <w:jc w:val="both"/>
        <w:textAlignment w:val="baseline"/>
        <w:rPr>
          <w:rFonts w:asciiTheme="majorHAnsi" w:hAnsiTheme="majorHAnsi" w:cs="Arial"/>
          <w:color w:val="000000"/>
          <w:sz w:val="21"/>
          <w:szCs w:val="21"/>
          <w:lang w:eastAsia="en-GB"/>
        </w:rPr>
      </w:pPr>
      <w:r w:rsidRPr="00E24E02">
        <w:rPr>
          <w:rFonts w:asciiTheme="majorHAnsi" w:hAnsiTheme="majorHAnsi" w:cs="Arial"/>
          <w:b/>
          <w:bCs/>
          <w:color w:val="000000"/>
          <w:sz w:val="21"/>
          <w:szCs w:val="21"/>
          <w:lang w:eastAsia="en-GB"/>
        </w:rPr>
        <w:t xml:space="preserve">Prioritise human rights </w:t>
      </w:r>
      <w:r w:rsidRPr="00E24E02">
        <w:rPr>
          <w:rFonts w:asciiTheme="majorHAnsi" w:hAnsiTheme="majorHAnsi" w:cs="Arial"/>
          <w:color w:val="000000"/>
          <w:sz w:val="21"/>
          <w:szCs w:val="21"/>
          <w:lang w:eastAsia="en-GB"/>
        </w:rPr>
        <w:t>as the foundation of the Pandemic Accord and any future amendments to the International Health Regulations. Health emergencies legal instruments must enhance States’ existing human rights obligations and the realisation of human rights. </w:t>
      </w:r>
    </w:p>
    <w:p w14:paraId="0E22D7C0" w14:textId="77777777" w:rsidR="00E24E02" w:rsidRPr="00E24E02" w:rsidRDefault="00E24E02" w:rsidP="007E5719">
      <w:pPr>
        <w:numPr>
          <w:ilvl w:val="0"/>
          <w:numId w:val="50"/>
        </w:numPr>
        <w:spacing w:after="0"/>
        <w:ind w:right="-941"/>
        <w:jc w:val="both"/>
        <w:textAlignment w:val="baseline"/>
        <w:rPr>
          <w:rFonts w:asciiTheme="majorHAnsi" w:hAnsiTheme="majorHAnsi" w:cs="Arial"/>
          <w:color w:val="000000"/>
          <w:sz w:val="21"/>
          <w:szCs w:val="21"/>
          <w:lang w:eastAsia="en-GB"/>
        </w:rPr>
      </w:pPr>
      <w:r w:rsidRPr="00E24E02">
        <w:rPr>
          <w:rFonts w:asciiTheme="majorHAnsi" w:hAnsiTheme="majorHAnsi" w:cs="Arial"/>
          <w:color w:val="000000"/>
          <w:sz w:val="21"/>
          <w:szCs w:val="21"/>
          <w:lang w:eastAsia="en-GB"/>
        </w:rPr>
        <w:t xml:space="preserve">In health emergencies and beyond, </w:t>
      </w:r>
      <w:r w:rsidRPr="00E24E02">
        <w:rPr>
          <w:rFonts w:asciiTheme="majorHAnsi" w:hAnsiTheme="majorHAnsi" w:cs="Arial"/>
          <w:b/>
          <w:bCs/>
          <w:color w:val="000000"/>
          <w:sz w:val="21"/>
          <w:szCs w:val="21"/>
          <w:lang w:eastAsia="en-GB"/>
        </w:rPr>
        <w:t>ensure the availability, accessibility, acceptability and quality of essential health services and medical countermeasures</w:t>
      </w:r>
      <w:r w:rsidRPr="00E24E02">
        <w:rPr>
          <w:rFonts w:asciiTheme="majorHAnsi" w:hAnsiTheme="majorHAnsi" w:cs="Arial"/>
          <w:color w:val="000000"/>
          <w:sz w:val="21"/>
          <w:szCs w:val="21"/>
          <w:lang w:eastAsia="en-GB"/>
        </w:rPr>
        <w:t xml:space="preserve"> </w:t>
      </w:r>
      <w:r w:rsidRPr="00E24E02">
        <w:rPr>
          <w:rFonts w:asciiTheme="majorHAnsi" w:hAnsiTheme="majorHAnsi" w:cs="Arial"/>
          <w:b/>
          <w:bCs/>
          <w:color w:val="000000"/>
          <w:sz w:val="21"/>
          <w:szCs w:val="21"/>
          <w:lang w:eastAsia="en-GB"/>
        </w:rPr>
        <w:t>across the continuum of care, and to all people</w:t>
      </w:r>
      <w:r w:rsidRPr="00E24E02">
        <w:rPr>
          <w:rFonts w:asciiTheme="majorHAnsi" w:hAnsiTheme="majorHAnsi" w:cs="Arial"/>
          <w:color w:val="000000"/>
          <w:sz w:val="21"/>
          <w:szCs w:val="21"/>
          <w:lang w:eastAsia="en-GB"/>
        </w:rPr>
        <w:t>, without distinction of any kind. These include personal protective equipment, vaccines, diagnostics, and therapeutics.  </w:t>
      </w:r>
    </w:p>
    <w:p w14:paraId="69BBA828" w14:textId="77777777" w:rsidR="00E24E02" w:rsidRPr="00E24E02" w:rsidRDefault="00E24E02" w:rsidP="007E5719">
      <w:pPr>
        <w:numPr>
          <w:ilvl w:val="0"/>
          <w:numId w:val="50"/>
        </w:numPr>
        <w:spacing w:after="0"/>
        <w:ind w:right="-941"/>
        <w:jc w:val="both"/>
        <w:textAlignment w:val="baseline"/>
        <w:rPr>
          <w:rFonts w:asciiTheme="majorHAnsi" w:hAnsiTheme="majorHAnsi" w:cs="Arial"/>
          <w:color w:val="000000"/>
          <w:sz w:val="21"/>
          <w:szCs w:val="21"/>
          <w:lang w:eastAsia="en-GB"/>
        </w:rPr>
      </w:pPr>
      <w:r w:rsidRPr="00E24E02">
        <w:rPr>
          <w:rFonts w:asciiTheme="majorHAnsi" w:hAnsiTheme="majorHAnsi" w:cs="Arial"/>
          <w:b/>
          <w:bCs/>
          <w:color w:val="000000"/>
          <w:sz w:val="21"/>
          <w:szCs w:val="21"/>
          <w:lang w:eastAsia="en-GB"/>
        </w:rPr>
        <w:t xml:space="preserve">Safeguard the continuity of access to health products, services, facilities and information, </w:t>
      </w:r>
      <w:r w:rsidRPr="00E24E02">
        <w:rPr>
          <w:rFonts w:asciiTheme="majorHAnsi" w:hAnsiTheme="majorHAnsi" w:cs="Arial"/>
          <w:color w:val="000000"/>
          <w:sz w:val="21"/>
          <w:szCs w:val="21"/>
          <w:lang w:eastAsia="en-GB"/>
        </w:rPr>
        <w:t>including for people living with chronic conditions, including NCDs, and persons with disabilities in health emergencies.</w:t>
      </w:r>
    </w:p>
    <w:p w14:paraId="5F2EE457" w14:textId="77777777" w:rsidR="00E24E02" w:rsidRPr="00E24E02" w:rsidRDefault="00E24E02" w:rsidP="007E5719">
      <w:pPr>
        <w:numPr>
          <w:ilvl w:val="0"/>
          <w:numId w:val="50"/>
        </w:numPr>
        <w:spacing w:after="0"/>
        <w:ind w:right="-941"/>
        <w:jc w:val="both"/>
        <w:textAlignment w:val="baseline"/>
        <w:rPr>
          <w:rFonts w:asciiTheme="majorHAnsi" w:hAnsiTheme="majorHAnsi" w:cs="Arial"/>
          <w:color w:val="000000"/>
          <w:sz w:val="21"/>
          <w:szCs w:val="21"/>
          <w:lang w:eastAsia="en-GB"/>
        </w:rPr>
      </w:pPr>
      <w:r w:rsidRPr="00E24E02">
        <w:rPr>
          <w:rFonts w:asciiTheme="majorHAnsi" w:hAnsiTheme="majorHAnsi" w:cs="Arial"/>
          <w:b/>
          <w:bCs/>
          <w:color w:val="000000"/>
          <w:sz w:val="21"/>
          <w:szCs w:val="21"/>
          <w:lang w:eastAsia="en-GB"/>
        </w:rPr>
        <w:t>Build on existing multilateral systems and organisations, including the World Health Organization,</w:t>
      </w:r>
      <w:r w:rsidRPr="00E24E02">
        <w:rPr>
          <w:rFonts w:asciiTheme="majorHAnsi" w:hAnsiTheme="majorHAnsi" w:cs="Arial"/>
          <w:color w:val="000000"/>
          <w:sz w:val="21"/>
          <w:szCs w:val="21"/>
          <w:lang w:eastAsia="en-GB"/>
        </w:rPr>
        <w:t xml:space="preserve"> to drive global efforts for health emergency prevention, preparedness and response.</w:t>
      </w:r>
    </w:p>
    <w:p w14:paraId="24FAC755" w14:textId="77777777" w:rsidR="00E24E02" w:rsidRPr="00E24E02" w:rsidRDefault="00E24E02" w:rsidP="007E5719">
      <w:pPr>
        <w:numPr>
          <w:ilvl w:val="0"/>
          <w:numId w:val="50"/>
        </w:numPr>
        <w:spacing w:after="360"/>
        <w:ind w:right="-941"/>
        <w:jc w:val="both"/>
        <w:textAlignment w:val="baseline"/>
        <w:rPr>
          <w:rFonts w:asciiTheme="majorHAnsi" w:hAnsiTheme="majorHAnsi" w:cs="Arial"/>
          <w:color w:val="000000"/>
          <w:sz w:val="21"/>
          <w:szCs w:val="21"/>
          <w:lang w:eastAsia="en-GB"/>
        </w:rPr>
      </w:pPr>
      <w:r w:rsidRPr="00E24E02">
        <w:rPr>
          <w:rFonts w:asciiTheme="majorHAnsi" w:hAnsiTheme="majorHAnsi" w:cs="Arial"/>
          <w:color w:val="000000"/>
          <w:sz w:val="21"/>
          <w:szCs w:val="21"/>
          <w:lang w:eastAsia="en-GB"/>
        </w:rPr>
        <w:t xml:space="preserve">Finally, ensure the </w:t>
      </w:r>
      <w:r w:rsidRPr="00E24E02">
        <w:rPr>
          <w:rFonts w:asciiTheme="majorHAnsi" w:hAnsiTheme="majorHAnsi" w:cs="Arial"/>
          <w:b/>
          <w:bCs/>
          <w:color w:val="000000"/>
          <w:sz w:val="21"/>
          <w:szCs w:val="21"/>
          <w:lang w:eastAsia="en-GB"/>
        </w:rPr>
        <w:t>full, equal, meaningful and effective participation of civil society, affected people, communities and health professionals</w:t>
      </w:r>
      <w:r w:rsidRPr="00E24E02">
        <w:rPr>
          <w:rFonts w:asciiTheme="majorHAnsi" w:hAnsiTheme="majorHAnsi" w:cs="Arial"/>
          <w:color w:val="000000"/>
          <w:sz w:val="21"/>
          <w:szCs w:val="21"/>
          <w:lang w:eastAsia="en-GB"/>
        </w:rPr>
        <w:t xml:space="preserve"> in the drafting, decision-making and monitoring &amp; compliance of health policies at national, regional and global levels. This will help to build trust and legitimacy in the policy-making process, ultimately ensuring that policies will be accepted and effectively enforced.</w:t>
      </w:r>
    </w:p>
    <w:p w14:paraId="125D55A4" w14:textId="69D90AFF" w:rsidR="0007475B" w:rsidRPr="0042729B" w:rsidRDefault="0007475B" w:rsidP="007E5719">
      <w:pPr>
        <w:pStyle w:val="Heading3"/>
        <w:ind w:right="-941"/>
        <w:rPr>
          <w:rFonts w:asciiTheme="majorHAnsi" w:hAnsiTheme="majorHAnsi"/>
          <w:sz w:val="21"/>
          <w:szCs w:val="21"/>
        </w:rPr>
      </w:pPr>
      <w:r w:rsidRPr="0042729B">
        <w:rPr>
          <w:rFonts w:asciiTheme="majorHAnsi" w:hAnsiTheme="majorHAnsi"/>
          <w:sz w:val="21"/>
          <w:szCs w:val="21"/>
        </w:rPr>
        <w:lastRenderedPageBreak/>
        <w:t>Agenda item: 15.2 WHO’s work in health emer</w:t>
      </w:r>
      <w:r w:rsidR="00DB3A5B" w:rsidRPr="0042729B">
        <w:rPr>
          <w:rFonts w:asciiTheme="majorHAnsi" w:hAnsiTheme="majorHAnsi"/>
          <w:sz w:val="21"/>
          <w:szCs w:val="21"/>
        </w:rPr>
        <w:t>g</w:t>
      </w:r>
      <w:r w:rsidRPr="0042729B">
        <w:rPr>
          <w:rFonts w:asciiTheme="majorHAnsi" w:hAnsiTheme="majorHAnsi"/>
          <w:sz w:val="21"/>
          <w:szCs w:val="21"/>
        </w:rPr>
        <w:t>encies</w:t>
      </w:r>
      <w:r w:rsidR="00094EB3" w:rsidRPr="0042729B">
        <w:rPr>
          <w:rFonts w:asciiTheme="majorHAnsi" w:hAnsiTheme="majorHAnsi"/>
          <w:sz w:val="21"/>
          <w:szCs w:val="21"/>
        </w:rPr>
        <w:t xml:space="preserve"> </w:t>
      </w:r>
    </w:p>
    <w:p w14:paraId="64CDCA9B" w14:textId="26FF0EF6" w:rsidR="00A8727B" w:rsidRPr="0042729B" w:rsidRDefault="00A8727B" w:rsidP="007E5719">
      <w:pPr>
        <w:pStyle w:val="paragraph"/>
        <w:spacing w:before="0" w:beforeAutospacing="0" w:after="0" w:afterAutospacing="0"/>
        <w:ind w:right="-941"/>
        <w:textAlignment w:val="baseline"/>
        <w:rPr>
          <w:rFonts w:asciiTheme="majorHAnsi" w:hAnsiTheme="majorHAnsi" w:cs="Calibri Light"/>
          <w:sz w:val="21"/>
          <w:szCs w:val="21"/>
        </w:rPr>
      </w:pPr>
      <w:r w:rsidRPr="0042729B">
        <w:rPr>
          <w:rStyle w:val="normaltextrun"/>
          <w:rFonts w:asciiTheme="majorHAnsi" w:hAnsiTheme="majorHAnsi" w:cs="Calibri Light"/>
          <w:sz w:val="21"/>
          <w:szCs w:val="21"/>
        </w:rPr>
        <w:t>A large and rapidly growing number of older people are affected by emergencies</w:t>
      </w:r>
      <w:r w:rsidR="005B2D21" w:rsidRPr="0042729B">
        <w:rPr>
          <w:rStyle w:val="normaltextrun"/>
          <w:rFonts w:asciiTheme="majorHAnsi" w:hAnsiTheme="majorHAnsi" w:cs="Calibri Light"/>
          <w:sz w:val="21"/>
          <w:szCs w:val="21"/>
        </w:rPr>
        <w:t xml:space="preserve">, in which they </w:t>
      </w:r>
      <w:r w:rsidRPr="0042729B">
        <w:rPr>
          <w:rStyle w:val="normaltextrun"/>
          <w:rFonts w:asciiTheme="majorHAnsi" w:hAnsiTheme="majorHAnsi" w:cs="Calibri Light"/>
          <w:sz w:val="21"/>
          <w:szCs w:val="21"/>
        </w:rPr>
        <w:t>are often those most at risk, yet most overlooked. This has been brutally highlighted during COVID-19 and in ongoing humanitarian emergencies, including in Ukraine</w:t>
      </w:r>
      <w:r w:rsidR="00F978ED" w:rsidRPr="0042729B">
        <w:rPr>
          <w:rStyle w:val="normaltextrun"/>
          <w:rFonts w:asciiTheme="majorHAnsi" w:hAnsiTheme="majorHAnsi" w:cs="Calibri Light"/>
          <w:sz w:val="21"/>
          <w:szCs w:val="21"/>
        </w:rPr>
        <w:t>, Horn of Africa and the Turkey Syria earthquake</w:t>
      </w:r>
      <w:r w:rsidRPr="0042729B">
        <w:rPr>
          <w:rStyle w:val="normaltextrun"/>
          <w:rFonts w:asciiTheme="majorHAnsi" w:hAnsiTheme="majorHAnsi" w:cs="Calibri Light"/>
          <w:sz w:val="21"/>
          <w:szCs w:val="21"/>
        </w:rPr>
        <w:t>.</w:t>
      </w:r>
    </w:p>
    <w:p w14:paraId="45E27FBD" w14:textId="77777777" w:rsidR="00A8727B" w:rsidRPr="0042729B" w:rsidRDefault="00A8727B" w:rsidP="007E5719">
      <w:pPr>
        <w:pStyle w:val="paragraph"/>
        <w:spacing w:before="0" w:beforeAutospacing="0" w:after="0" w:afterAutospacing="0"/>
        <w:ind w:right="-941"/>
        <w:textAlignment w:val="baseline"/>
        <w:rPr>
          <w:rFonts w:asciiTheme="majorHAnsi" w:hAnsiTheme="majorHAnsi" w:cs="Calibri Light"/>
          <w:sz w:val="21"/>
          <w:szCs w:val="21"/>
        </w:rPr>
      </w:pPr>
      <w:r w:rsidRPr="0042729B">
        <w:rPr>
          <w:rStyle w:val="eop"/>
          <w:rFonts w:asciiTheme="majorHAnsi" w:hAnsiTheme="majorHAnsi" w:cs="Calibri Light"/>
          <w:sz w:val="21"/>
          <w:szCs w:val="21"/>
        </w:rPr>
        <w:t> </w:t>
      </w:r>
    </w:p>
    <w:p w14:paraId="1D4B50ED" w14:textId="77777777" w:rsidR="00A8727B" w:rsidRPr="0042729B" w:rsidRDefault="00A8727B" w:rsidP="007E5719">
      <w:pPr>
        <w:pStyle w:val="paragraph"/>
        <w:spacing w:before="0" w:beforeAutospacing="0" w:after="0" w:afterAutospacing="0"/>
        <w:ind w:right="-941"/>
        <w:textAlignment w:val="baseline"/>
        <w:rPr>
          <w:rStyle w:val="normaltextrun"/>
          <w:rFonts w:asciiTheme="majorHAnsi" w:hAnsiTheme="majorHAnsi"/>
          <w:sz w:val="21"/>
          <w:szCs w:val="21"/>
        </w:rPr>
      </w:pPr>
      <w:r w:rsidRPr="0042729B">
        <w:rPr>
          <w:rStyle w:val="normaltextrun"/>
          <w:rFonts w:asciiTheme="majorHAnsi" w:hAnsiTheme="majorHAnsi" w:cs="Calibri Light"/>
          <w:sz w:val="21"/>
          <w:szCs w:val="21"/>
        </w:rPr>
        <w:t xml:space="preserve">A radical shift is needed to ensure emergency preparedness and response upholds the rights of all older people. </w:t>
      </w:r>
    </w:p>
    <w:p w14:paraId="6D6C50B6" w14:textId="77777777" w:rsidR="00A8727B" w:rsidRPr="0042729B" w:rsidRDefault="00A8727B" w:rsidP="007E5719">
      <w:pPr>
        <w:pStyle w:val="paragraph"/>
        <w:spacing w:before="0" w:beforeAutospacing="0" w:after="0" w:afterAutospacing="0"/>
        <w:ind w:right="-941"/>
        <w:textAlignment w:val="baseline"/>
        <w:rPr>
          <w:rStyle w:val="normaltextrun"/>
          <w:rFonts w:asciiTheme="majorHAnsi" w:hAnsiTheme="majorHAnsi" w:cs="Calibri Light"/>
          <w:sz w:val="21"/>
          <w:szCs w:val="21"/>
        </w:rPr>
      </w:pPr>
    </w:p>
    <w:p w14:paraId="6F61544B" w14:textId="77777777" w:rsidR="00A8727B" w:rsidRPr="0042729B" w:rsidRDefault="00A8727B" w:rsidP="007E5719">
      <w:pPr>
        <w:pStyle w:val="paragraph"/>
        <w:spacing w:before="0" w:beforeAutospacing="0" w:after="0" w:afterAutospacing="0"/>
        <w:ind w:right="-941"/>
        <w:textAlignment w:val="baseline"/>
        <w:rPr>
          <w:rFonts w:asciiTheme="majorHAnsi" w:hAnsiTheme="majorHAnsi"/>
          <w:sz w:val="21"/>
          <w:szCs w:val="21"/>
        </w:rPr>
      </w:pPr>
      <w:r w:rsidRPr="0042729B">
        <w:rPr>
          <w:rStyle w:val="normaltextrun"/>
          <w:rFonts w:asciiTheme="majorHAnsi" w:hAnsiTheme="majorHAnsi" w:cs="Calibri Light"/>
          <w:sz w:val="21"/>
          <w:szCs w:val="21"/>
        </w:rPr>
        <w:t>WHO and humanitarian actors at all levels must:</w:t>
      </w:r>
      <w:r w:rsidRPr="0042729B">
        <w:rPr>
          <w:rStyle w:val="eop"/>
          <w:rFonts w:asciiTheme="majorHAnsi" w:hAnsiTheme="majorHAnsi" w:cs="Calibri Light"/>
          <w:sz w:val="21"/>
          <w:szCs w:val="21"/>
        </w:rPr>
        <w:t> </w:t>
      </w:r>
    </w:p>
    <w:p w14:paraId="03EBBCF5" w14:textId="77777777" w:rsidR="00A8727B" w:rsidRPr="0042729B" w:rsidRDefault="00A8727B" w:rsidP="007E5719">
      <w:pPr>
        <w:pStyle w:val="paragraph"/>
        <w:spacing w:before="0" w:beforeAutospacing="0" w:after="0" w:afterAutospacing="0"/>
        <w:ind w:right="-941"/>
        <w:textAlignment w:val="baseline"/>
        <w:rPr>
          <w:rFonts w:asciiTheme="majorHAnsi" w:hAnsiTheme="majorHAnsi" w:cs="Calibri Light"/>
          <w:sz w:val="21"/>
          <w:szCs w:val="21"/>
        </w:rPr>
      </w:pPr>
      <w:r w:rsidRPr="0042729B">
        <w:rPr>
          <w:rStyle w:val="eop"/>
          <w:rFonts w:asciiTheme="majorHAnsi" w:hAnsiTheme="majorHAnsi" w:cs="Calibri Light"/>
          <w:sz w:val="21"/>
          <w:szCs w:val="21"/>
        </w:rPr>
        <w:t> </w:t>
      </w:r>
    </w:p>
    <w:p w14:paraId="05BCB24A" w14:textId="15E78E7E" w:rsidR="00A8727B" w:rsidRPr="0042729B" w:rsidRDefault="00A8727B" w:rsidP="007E5719">
      <w:pPr>
        <w:pStyle w:val="paragraph"/>
        <w:numPr>
          <w:ilvl w:val="0"/>
          <w:numId w:val="44"/>
        </w:numPr>
        <w:spacing w:before="0" w:beforeAutospacing="0" w:after="0" w:afterAutospacing="0"/>
        <w:ind w:right="-941"/>
        <w:textAlignment w:val="baseline"/>
        <w:rPr>
          <w:rFonts w:asciiTheme="majorHAnsi" w:eastAsia="Times New Roman" w:hAnsiTheme="majorHAnsi" w:cs="Calibri Light"/>
          <w:sz w:val="21"/>
          <w:szCs w:val="21"/>
        </w:rPr>
      </w:pPr>
      <w:r w:rsidRPr="0042729B">
        <w:rPr>
          <w:rStyle w:val="normaltextrun"/>
          <w:rFonts w:asciiTheme="majorHAnsi" w:eastAsia="Times New Roman" w:hAnsiTheme="majorHAnsi" w:cs="Calibri Light"/>
          <w:sz w:val="21"/>
          <w:szCs w:val="21"/>
        </w:rPr>
        <w:t>Champion age, gender and disability inclusive responses and strengthen policy and capacities at all levels.</w:t>
      </w:r>
    </w:p>
    <w:p w14:paraId="33106599" w14:textId="77777777" w:rsidR="00A8727B" w:rsidRPr="0042729B" w:rsidRDefault="00A8727B" w:rsidP="007E5719">
      <w:pPr>
        <w:pStyle w:val="paragraph"/>
        <w:numPr>
          <w:ilvl w:val="0"/>
          <w:numId w:val="44"/>
        </w:numPr>
        <w:spacing w:before="0" w:beforeAutospacing="0" w:after="0" w:afterAutospacing="0"/>
        <w:ind w:right="-941"/>
        <w:textAlignment w:val="baseline"/>
        <w:rPr>
          <w:rFonts w:asciiTheme="majorHAnsi" w:eastAsia="Times New Roman" w:hAnsiTheme="majorHAnsi" w:cs="Calibri Light"/>
          <w:sz w:val="21"/>
          <w:szCs w:val="21"/>
        </w:rPr>
      </w:pPr>
      <w:r w:rsidRPr="0042729B">
        <w:rPr>
          <w:rStyle w:val="normaltextrun"/>
          <w:rFonts w:asciiTheme="majorHAnsi" w:eastAsia="Times New Roman" w:hAnsiTheme="majorHAnsi" w:cs="Calibri Light"/>
          <w:color w:val="000000"/>
          <w:sz w:val="21"/>
          <w:szCs w:val="21"/>
        </w:rPr>
        <w:t>Ensure older people’s physical and mental health and care needs are met in emergencies, including those related to infectious and non-communicable diseases; promotion, prevention, treatment, rehabilitation, long-term care and support, and palliative and end of life care.</w:t>
      </w:r>
      <w:r w:rsidRPr="0042729B">
        <w:rPr>
          <w:rStyle w:val="eop"/>
          <w:rFonts w:asciiTheme="majorHAnsi" w:eastAsia="Times New Roman" w:hAnsiTheme="majorHAnsi" w:cs="Calibri Light"/>
          <w:color w:val="000000"/>
          <w:sz w:val="21"/>
          <w:szCs w:val="21"/>
        </w:rPr>
        <w:t> </w:t>
      </w:r>
    </w:p>
    <w:p w14:paraId="17167893" w14:textId="77777777" w:rsidR="00A8727B" w:rsidRPr="0042729B" w:rsidRDefault="00A8727B" w:rsidP="007E5719">
      <w:pPr>
        <w:pStyle w:val="paragraph"/>
        <w:numPr>
          <w:ilvl w:val="0"/>
          <w:numId w:val="44"/>
        </w:numPr>
        <w:spacing w:before="0" w:beforeAutospacing="0" w:after="0" w:afterAutospacing="0"/>
        <w:ind w:right="-941"/>
        <w:textAlignment w:val="baseline"/>
        <w:rPr>
          <w:rFonts w:asciiTheme="majorHAnsi" w:eastAsia="Times New Roman" w:hAnsiTheme="majorHAnsi" w:cs="Calibri Light"/>
          <w:sz w:val="21"/>
          <w:szCs w:val="21"/>
        </w:rPr>
      </w:pPr>
      <w:r w:rsidRPr="0042729B">
        <w:rPr>
          <w:rStyle w:val="normaltextrun"/>
          <w:rFonts w:asciiTheme="majorHAnsi" w:eastAsia="Times New Roman" w:hAnsiTheme="majorHAnsi" w:cs="Calibri Light"/>
          <w:sz w:val="21"/>
          <w:szCs w:val="21"/>
        </w:rPr>
        <w:t>Collect and use sex, age and disability disaggregated data on people of all ages, including the oldest old</w:t>
      </w:r>
      <w:r w:rsidRPr="0042729B">
        <w:rPr>
          <w:rStyle w:val="eop"/>
          <w:rFonts w:asciiTheme="majorHAnsi" w:eastAsia="Times New Roman" w:hAnsiTheme="majorHAnsi" w:cs="Calibri Light"/>
          <w:sz w:val="21"/>
          <w:szCs w:val="21"/>
        </w:rPr>
        <w:t> to inform inclusive responses.</w:t>
      </w:r>
    </w:p>
    <w:p w14:paraId="20A73BEB" w14:textId="63AE5D66" w:rsidR="0007475B" w:rsidRPr="0042729B" w:rsidRDefault="00A8727B" w:rsidP="007E5719">
      <w:pPr>
        <w:pStyle w:val="paragraph"/>
        <w:numPr>
          <w:ilvl w:val="0"/>
          <w:numId w:val="44"/>
        </w:numPr>
        <w:spacing w:before="0" w:beforeAutospacing="0" w:after="0" w:afterAutospacing="0"/>
        <w:ind w:right="-941"/>
        <w:textAlignment w:val="baseline"/>
        <w:rPr>
          <w:rFonts w:asciiTheme="majorHAnsi" w:eastAsia="Times New Roman" w:hAnsiTheme="majorHAnsi" w:cs="Calibri Light"/>
          <w:sz w:val="21"/>
          <w:szCs w:val="21"/>
        </w:rPr>
      </w:pPr>
      <w:r w:rsidRPr="0042729B">
        <w:rPr>
          <w:rStyle w:val="normaltextrun"/>
          <w:rFonts w:asciiTheme="majorHAnsi" w:eastAsia="Times New Roman" w:hAnsiTheme="majorHAnsi" w:cs="Calibri Light"/>
          <w:sz w:val="21"/>
          <w:szCs w:val="21"/>
        </w:rPr>
        <w:t>Engage and empower older people and persons with disabilities at all levels and address the barriers they face to enjoying full and equal access and participation.</w:t>
      </w:r>
      <w:r w:rsidRPr="0042729B">
        <w:rPr>
          <w:rStyle w:val="eop"/>
          <w:rFonts w:asciiTheme="majorHAnsi" w:eastAsia="Times New Roman" w:hAnsiTheme="majorHAnsi" w:cs="Calibri Light"/>
          <w:sz w:val="21"/>
          <w:szCs w:val="21"/>
        </w:rPr>
        <w:t> </w:t>
      </w:r>
    </w:p>
    <w:p w14:paraId="57F25901" w14:textId="77777777" w:rsidR="0007475B" w:rsidRPr="0042729B" w:rsidRDefault="0007475B" w:rsidP="007E5719">
      <w:pPr>
        <w:ind w:right="-941"/>
        <w:rPr>
          <w:rFonts w:asciiTheme="majorHAnsi" w:hAnsiTheme="majorHAnsi"/>
          <w:sz w:val="21"/>
          <w:szCs w:val="21"/>
        </w:rPr>
      </w:pPr>
    </w:p>
    <w:p w14:paraId="1719E27B" w14:textId="268BCB7D" w:rsidR="00E11173" w:rsidRPr="0042729B" w:rsidRDefault="00112F1C" w:rsidP="007E5719">
      <w:pPr>
        <w:pStyle w:val="Heading3"/>
        <w:ind w:right="-941"/>
        <w:rPr>
          <w:rFonts w:asciiTheme="majorHAnsi" w:hAnsiTheme="majorHAnsi"/>
          <w:sz w:val="21"/>
          <w:szCs w:val="21"/>
        </w:rPr>
      </w:pPr>
      <w:r w:rsidRPr="0042729B">
        <w:rPr>
          <w:rFonts w:asciiTheme="majorHAnsi" w:hAnsiTheme="majorHAnsi"/>
          <w:sz w:val="21"/>
          <w:szCs w:val="21"/>
        </w:rPr>
        <w:t xml:space="preserve">Agenda item </w:t>
      </w:r>
      <w:r w:rsidR="0007475B" w:rsidRPr="0042729B">
        <w:rPr>
          <w:rFonts w:asciiTheme="majorHAnsi" w:hAnsiTheme="majorHAnsi"/>
          <w:sz w:val="21"/>
          <w:szCs w:val="21"/>
        </w:rPr>
        <w:t>16.3</w:t>
      </w:r>
      <w:r w:rsidR="00E11173" w:rsidRPr="0042729B">
        <w:rPr>
          <w:rFonts w:asciiTheme="majorHAnsi" w:hAnsiTheme="majorHAnsi"/>
          <w:sz w:val="21"/>
          <w:szCs w:val="21"/>
        </w:rPr>
        <w:t xml:space="preserve"> Social determinants of health </w:t>
      </w:r>
    </w:p>
    <w:p w14:paraId="25E98591" w14:textId="49B98BA0" w:rsidR="00E24E02" w:rsidRPr="0042729B" w:rsidRDefault="00E24E02" w:rsidP="007E5719">
      <w:pPr>
        <w:spacing w:before="240" w:after="240"/>
        <w:ind w:right="-941"/>
        <w:rPr>
          <w:rFonts w:asciiTheme="majorHAnsi" w:hAnsiTheme="majorHAnsi"/>
          <w:sz w:val="21"/>
          <w:szCs w:val="21"/>
        </w:rPr>
      </w:pPr>
      <w:r w:rsidRPr="0042729B">
        <w:rPr>
          <w:rFonts w:asciiTheme="majorHAnsi" w:hAnsiTheme="majorHAnsi"/>
          <w:b/>
          <w:bCs/>
          <w:sz w:val="21"/>
          <w:szCs w:val="21"/>
        </w:rPr>
        <w:t>Constituency statement by</w:t>
      </w:r>
      <w:r w:rsidRPr="0042729B">
        <w:rPr>
          <w:rFonts w:asciiTheme="majorHAnsi" w:hAnsiTheme="majorHAnsi" w:cs="Arial"/>
          <w:sz w:val="21"/>
          <w:szCs w:val="21"/>
          <w:lang w:eastAsia="en-GB"/>
        </w:rPr>
        <w:t>:</w:t>
      </w:r>
      <w:r w:rsidR="00DB3A5B" w:rsidRPr="0042729B">
        <w:rPr>
          <w:rFonts w:asciiTheme="majorHAnsi" w:hAnsiTheme="majorHAnsi" w:cs="Arial"/>
          <w:sz w:val="21"/>
          <w:szCs w:val="21"/>
          <w:lang w:eastAsia="en-GB"/>
        </w:rPr>
        <w:t xml:space="preserve"> </w:t>
      </w:r>
      <w:r w:rsidR="00DB3A5B" w:rsidRPr="0042729B">
        <w:rPr>
          <w:rFonts w:asciiTheme="majorHAnsi" w:hAnsiTheme="majorHAnsi"/>
          <w:sz w:val="21"/>
          <w:szCs w:val="21"/>
        </w:rPr>
        <w:t xml:space="preserve">Alzheimer’s Disease International, </w:t>
      </w:r>
      <w:r w:rsidR="00EA3A54" w:rsidRPr="0042729B">
        <w:rPr>
          <w:rFonts w:asciiTheme="majorHAnsi" w:hAnsiTheme="majorHAnsi"/>
          <w:sz w:val="21"/>
          <w:szCs w:val="21"/>
        </w:rPr>
        <w:t xml:space="preserve">Christian Blind Mission, </w:t>
      </w:r>
      <w:r w:rsidR="00DB3A5B" w:rsidRPr="0042729B">
        <w:rPr>
          <w:rFonts w:asciiTheme="majorHAnsi" w:hAnsiTheme="majorHAnsi"/>
          <w:sz w:val="21"/>
          <w:szCs w:val="21"/>
        </w:rPr>
        <w:t xml:space="preserve">Handicap International Federation, HelpAge International, International Federation on Ageing, </w:t>
      </w:r>
      <w:r w:rsidR="00EA3A54" w:rsidRPr="0042729B">
        <w:rPr>
          <w:rFonts w:asciiTheme="majorHAnsi" w:hAnsiTheme="majorHAnsi"/>
          <w:sz w:val="21"/>
          <w:szCs w:val="21"/>
        </w:rPr>
        <w:t xml:space="preserve">NCD Alliance, </w:t>
      </w:r>
      <w:r w:rsidR="00DB3A5B" w:rsidRPr="0042729B">
        <w:rPr>
          <w:rFonts w:asciiTheme="majorHAnsi" w:hAnsiTheme="majorHAnsi"/>
          <w:sz w:val="21"/>
          <w:szCs w:val="21"/>
        </w:rPr>
        <w:t>Royal Commonwealth Society for the Blind (</w:t>
      </w:r>
      <w:proofErr w:type="spellStart"/>
      <w:r w:rsidR="00DB3A5B" w:rsidRPr="0042729B">
        <w:rPr>
          <w:rFonts w:asciiTheme="majorHAnsi" w:hAnsiTheme="majorHAnsi"/>
          <w:sz w:val="21"/>
          <w:szCs w:val="21"/>
        </w:rPr>
        <w:t>Sightsavers</w:t>
      </w:r>
      <w:proofErr w:type="spellEnd"/>
      <w:r w:rsidR="00DB3A5B" w:rsidRPr="0042729B">
        <w:rPr>
          <w:rFonts w:asciiTheme="majorHAnsi" w:hAnsiTheme="majorHAnsi"/>
          <w:sz w:val="21"/>
          <w:szCs w:val="21"/>
        </w:rPr>
        <w:t xml:space="preserve">), </w:t>
      </w:r>
      <w:r w:rsidR="00EB3A5A" w:rsidRPr="0042729B">
        <w:rPr>
          <w:rFonts w:asciiTheme="majorHAnsi" w:hAnsiTheme="majorHAnsi"/>
          <w:sz w:val="21"/>
          <w:szCs w:val="21"/>
        </w:rPr>
        <w:t xml:space="preserve">Taskforce for Global Health, </w:t>
      </w:r>
      <w:r w:rsidR="00DB3A5B" w:rsidRPr="0042729B">
        <w:rPr>
          <w:rFonts w:asciiTheme="majorHAnsi" w:hAnsiTheme="majorHAnsi"/>
          <w:sz w:val="21"/>
          <w:szCs w:val="21"/>
        </w:rPr>
        <w:t>and The Worldwide Hospice Palliative Care Alliance</w:t>
      </w:r>
    </w:p>
    <w:p w14:paraId="7D25A31E" w14:textId="193985D8" w:rsidR="00E11173" w:rsidRPr="0042729B" w:rsidRDefault="00E24E02" w:rsidP="007E5719">
      <w:pPr>
        <w:spacing w:before="240" w:after="240"/>
        <w:ind w:right="-941"/>
        <w:rPr>
          <w:rFonts w:asciiTheme="majorHAnsi" w:hAnsiTheme="majorHAnsi"/>
          <w:sz w:val="21"/>
          <w:szCs w:val="21"/>
          <w:lang w:eastAsia="en-GB"/>
        </w:rPr>
      </w:pPr>
      <w:r w:rsidRPr="0042729B">
        <w:rPr>
          <w:rFonts w:asciiTheme="majorHAnsi" w:hAnsiTheme="majorHAnsi"/>
          <w:b/>
          <w:bCs/>
          <w:sz w:val="21"/>
          <w:szCs w:val="21"/>
        </w:rPr>
        <w:t>Statement:</w:t>
      </w:r>
      <w:r w:rsidR="00EB3A5A" w:rsidRPr="0042729B">
        <w:rPr>
          <w:rFonts w:asciiTheme="majorHAnsi" w:hAnsiTheme="majorHAnsi"/>
          <w:b/>
          <w:bCs/>
          <w:sz w:val="21"/>
          <w:szCs w:val="21"/>
        </w:rPr>
        <w:t xml:space="preserve"> </w:t>
      </w:r>
      <w:r w:rsidR="00E11173" w:rsidRPr="0042729B">
        <w:rPr>
          <w:rFonts w:asciiTheme="majorHAnsi" w:hAnsiTheme="majorHAnsi" w:cs="Arial"/>
          <w:sz w:val="21"/>
          <w:szCs w:val="21"/>
          <w:lang w:eastAsia="en-GB"/>
        </w:rPr>
        <w:t>We welcome the WHO’s work on the social determinants of health.</w:t>
      </w:r>
    </w:p>
    <w:p w14:paraId="27EFA026" w14:textId="77777777" w:rsidR="00E11173" w:rsidRPr="0042729B" w:rsidRDefault="00E11173" w:rsidP="007E5719">
      <w:pPr>
        <w:spacing w:before="240" w:after="240"/>
        <w:ind w:right="-941"/>
        <w:rPr>
          <w:rFonts w:asciiTheme="majorHAnsi" w:hAnsiTheme="majorHAnsi"/>
          <w:sz w:val="21"/>
          <w:szCs w:val="21"/>
          <w:lang w:eastAsia="en-GB"/>
        </w:rPr>
      </w:pPr>
      <w:r w:rsidRPr="0042729B">
        <w:rPr>
          <w:rFonts w:asciiTheme="majorHAnsi" w:hAnsiTheme="majorHAnsi" w:cs="Arial"/>
          <w:sz w:val="21"/>
          <w:szCs w:val="21"/>
          <w:lang w:eastAsia="en-GB"/>
        </w:rPr>
        <w:t>As this work continues, we ask that due attention be given to the close interplay of the social determinants of health with disability, ageing, communicable and non-communicable diseases and neglected tropical diseases.</w:t>
      </w:r>
    </w:p>
    <w:p w14:paraId="2EDF9B29" w14:textId="77777777" w:rsidR="00E11173" w:rsidRPr="0042729B" w:rsidRDefault="00E11173" w:rsidP="007E5719">
      <w:pPr>
        <w:spacing w:before="240" w:after="240"/>
        <w:ind w:right="-941"/>
        <w:rPr>
          <w:rFonts w:asciiTheme="majorHAnsi" w:hAnsiTheme="majorHAnsi"/>
          <w:sz w:val="21"/>
          <w:szCs w:val="21"/>
          <w:lang w:eastAsia="en-GB"/>
        </w:rPr>
      </w:pPr>
      <w:r w:rsidRPr="0042729B">
        <w:rPr>
          <w:rFonts w:asciiTheme="majorHAnsi" w:hAnsiTheme="majorHAnsi" w:cs="Arial"/>
          <w:sz w:val="21"/>
          <w:szCs w:val="21"/>
          <w:lang w:eastAsia="en-GB"/>
        </w:rPr>
        <w:t>The social determinants of health underpin the definition and experience of disability. Disabilities are strongly influenced by the environments in which we are born, live, work and age, including the social and economic barriers to accessing social protection, assistive technologies, rehabilitation and other health and care services. They are closely coupled with avoidable health inequities for persons with disabilities, compounded by discrimination and experienced as vicious cycles of poverty, exclusion and poorer health outcomes that accumulate across the life course.</w:t>
      </w:r>
    </w:p>
    <w:p w14:paraId="53504710" w14:textId="77777777" w:rsidR="00E11173" w:rsidRPr="0042729B" w:rsidRDefault="00E11173" w:rsidP="007E5719">
      <w:pPr>
        <w:spacing w:before="240" w:after="240"/>
        <w:ind w:right="-941"/>
        <w:rPr>
          <w:rFonts w:asciiTheme="majorHAnsi" w:hAnsiTheme="majorHAnsi"/>
          <w:sz w:val="21"/>
          <w:szCs w:val="21"/>
          <w:lang w:eastAsia="en-GB"/>
        </w:rPr>
      </w:pPr>
      <w:r w:rsidRPr="0042729B">
        <w:rPr>
          <w:rFonts w:asciiTheme="majorHAnsi" w:hAnsiTheme="majorHAnsi" w:cs="Arial"/>
          <w:sz w:val="21"/>
          <w:szCs w:val="21"/>
          <w:lang w:eastAsia="en-GB"/>
        </w:rPr>
        <w:t>Disability may increase the risk of poverty through lack of employment and education opportunities, lower wages, and higher out-of-pocket health expenses and exposure to catastrophic health expenditure.</w:t>
      </w:r>
    </w:p>
    <w:p w14:paraId="49C3227A" w14:textId="77777777" w:rsidR="00E11173" w:rsidRPr="0042729B" w:rsidRDefault="00E11173" w:rsidP="007E5719">
      <w:pPr>
        <w:spacing w:before="240" w:after="240"/>
        <w:ind w:right="-941"/>
        <w:rPr>
          <w:rFonts w:asciiTheme="majorHAnsi" w:hAnsiTheme="majorHAnsi"/>
          <w:sz w:val="21"/>
          <w:szCs w:val="21"/>
          <w:lang w:eastAsia="en-GB"/>
        </w:rPr>
      </w:pPr>
      <w:r w:rsidRPr="0042729B">
        <w:rPr>
          <w:rFonts w:asciiTheme="majorHAnsi" w:hAnsiTheme="majorHAnsi" w:cs="Arial"/>
          <w:sz w:val="21"/>
          <w:szCs w:val="21"/>
          <w:lang w:eastAsia="en-GB"/>
        </w:rPr>
        <w:t>Poverty also increases the prevalence and severity of disabilities due to a greater risk of long-term impairments from inadequate access to health services or safe water and sanitation, malnutrition, risk of injuries and violence, risk factors for non-communicable diseases, and exposure to neglected tropical diseases and other communicable diseases. </w:t>
      </w:r>
    </w:p>
    <w:p w14:paraId="5E0E9136" w14:textId="77777777" w:rsidR="00E11173" w:rsidRPr="0042729B" w:rsidRDefault="00E11173" w:rsidP="007E5719">
      <w:pPr>
        <w:spacing w:before="240" w:after="240"/>
        <w:ind w:right="-941"/>
        <w:rPr>
          <w:rFonts w:asciiTheme="majorHAnsi" w:hAnsiTheme="majorHAnsi"/>
          <w:sz w:val="21"/>
          <w:szCs w:val="21"/>
          <w:lang w:eastAsia="en-GB"/>
        </w:rPr>
      </w:pPr>
      <w:r w:rsidRPr="0042729B">
        <w:rPr>
          <w:rFonts w:asciiTheme="majorHAnsi" w:hAnsiTheme="majorHAnsi" w:cs="Arial"/>
          <w:sz w:val="21"/>
          <w:szCs w:val="21"/>
          <w:lang w:eastAsia="en-GB"/>
        </w:rPr>
        <w:t xml:space="preserve">Multiple intersecting factors exacerbate health inequities for persons with disabilities, including ageism and gender-based discrimination. Women and girls with disabilities, </w:t>
      </w:r>
      <w:r w:rsidRPr="0042729B">
        <w:rPr>
          <w:rFonts w:asciiTheme="majorHAnsi" w:hAnsiTheme="majorHAnsi" w:cs="Arial"/>
          <w:sz w:val="21"/>
          <w:szCs w:val="21"/>
          <w:lang w:eastAsia="en-GB"/>
        </w:rPr>
        <w:lastRenderedPageBreak/>
        <w:t>older people with disabilities, those in poverty, and those displaced or in remote or insecure contexts are among those most impacted by social determinants of health.</w:t>
      </w:r>
    </w:p>
    <w:p w14:paraId="6FE5BE39" w14:textId="30427248" w:rsidR="00E11173" w:rsidRPr="0042729B" w:rsidRDefault="00E11173" w:rsidP="007E5719">
      <w:pPr>
        <w:spacing w:before="240" w:after="240"/>
        <w:ind w:right="-941"/>
        <w:rPr>
          <w:rFonts w:asciiTheme="majorHAnsi" w:hAnsiTheme="majorHAnsi"/>
          <w:sz w:val="21"/>
          <w:szCs w:val="21"/>
          <w:lang w:eastAsia="en-GB"/>
        </w:rPr>
      </w:pPr>
      <w:r w:rsidRPr="0042729B">
        <w:rPr>
          <w:rFonts w:asciiTheme="majorHAnsi" w:hAnsiTheme="majorHAnsi" w:cs="Arial"/>
          <w:sz w:val="21"/>
          <w:szCs w:val="21"/>
          <w:lang w:eastAsia="en-GB"/>
        </w:rPr>
        <w:t>We urge Member States to ensure alignment of the forthcoming world report on the social determinants of health and the associated guidance and its implementation with WHA Resolution 74.8 and the WHO global report on health equity for persons with disabilities. We also call for:</w:t>
      </w:r>
    </w:p>
    <w:p w14:paraId="5BBF8957" w14:textId="77777777" w:rsidR="00E11173" w:rsidRPr="0042729B" w:rsidRDefault="00E11173" w:rsidP="007E5719">
      <w:pPr>
        <w:numPr>
          <w:ilvl w:val="0"/>
          <w:numId w:val="43"/>
        </w:numPr>
        <w:spacing w:before="240" w:after="0"/>
        <w:ind w:right="-941"/>
        <w:textAlignment w:val="baseline"/>
        <w:rPr>
          <w:rFonts w:asciiTheme="majorHAnsi" w:hAnsiTheme="majorHAnsi" w:cs="Arial"/>
          <w:sz w:val="21"/>
          <w:szCs w:val="21"/>
          <w:lang w:eastAsia="en-GB"/>
        </w:rPr>
      </w:pPr>
      <w:r w:rsidRPr="0042729B">
        <w:rPr>
          <w:rFonts w:asciiTheme="majorHAnsi" w:hAnsiTheme="majorHAnsi" w:cs="Arial"/>
          <w:sz w:val="21"/>
          <w:szCs w:val="21"/>
          <w:lang w:eastAsia="en-GB"/>
        </w:rPr>
        <w:t>Investment in primary health care approaches, including health promotion, prevention, treatment, rehabilitation, palliative care and long-term care and support, that are accessible to everyone and close to where people live.</w:t>
      </w:r>
    </w:p>
    <w:p w14:paraId="5E04B987" w14:textId="77777777" w:rsidR="00E11173" w:rsidRPr="0042729B" w:rsidRDefault="00E11173" w:rsidP="007E5719">
      <w:pPr>
        <w:numPr>
          <w:ilvl w:val="0"/>
          <w:numId w:val="43"/>
        </w:numPr>
        <w:spacing w:after="0"/>
        <w:ind w:right="-941"/>
        <w:textAlignment w:val="baseline"/>
        <w:rPr>
          <w:rFonts w:asciiTheme="majorHAnsi" w:hAnsiTheme="majorHAnsi" w:cs="Arial"/>
          <w:sz w:val="21"/>
          <w:szCs w:val="21"/>
          <w:lang w:eastAsia="en-GB"/>
        </w:rPr>
      </w:pPr>
      <w:r w:rsidRPr="0042729B">
        <w:rPr>
          <w:rFonts w:asciiTheme="majorHAnsi" w:hAnsiTheme="majorHAnsi" w:cs="Arial"/>
          <w:sz w:val="21"/>
          <w:szCs w:val="21"/>
          <w:lang w:eastAsia="en-GB"/>
        </w:rPr>
        <w:t>Inclusive multi-sectoral action underpinned by the systematic use of standardised systems to collect and use sex-, age- and disability-disaggregated data.</w:t>
      </w:r>
    </w:p>
    <w:p w14:paraId="764E5199" w14:textId="77777777" w:rsidR="00E11173" w:rsidRPr="0042729B" w:rsidRDefault="00E11173" w:rsidP="007E5719">
      <w:pPr>
        <w:numPr>
          <w:ilvl w:val="0"/>
          <w:numId w:val="43"/>
        </w:numPr>
        <w:spacing w:after="0"/>
        <w:ind w:right="-941"/>
        <w:textAlignment w:val="baseline"/>
        <w:rPr>
          <w:rFonts w:asciiTheme="majorHAnsi" w:hAnsiTheme="majorHAnsi" w:cs="Arial"/>
          <w:sz w:val="21"/>
          <w:szCs w:val="21"/>
          <w:lang w:eastAsia="en-GB"/>
        </w:rPr>
      </w:pPr>
      <w:r w:rsidRPr="0042729B">
        <w:rPr>
          <w:rFonts w:asciiTheme="majorHAnsi" w:hAnsiTheme="majorHAnsi" w:cs="Arial"/>
          <w:sz w:val="21"/>
          <w:szCs w:val="21"/>
          <w:lang w:eastAsia="en-GB"/>
        </w:rPr>
        <w:t>Meaningful engagement and empowerment of persons with disabilities of all ages and organisations working with them.</w:t>
      </w:r>
    </w:p>
    <w:p w14:paraId="359D4774" w14:textId="77777777" w:rsidR="00E11173" w:rsidRPr="0042729B" w:rsidRDefault="00E11173" w:rsidP="007E5719">
      <w:pPr>
        <w:numPr>
          <w:ilvl w:val="0"/>
          <w:numId w:val="43"/>
        </w:numPr>
        <w:spacing w:after="0"/>
        <w:ind w:right="-941"/>
        <w:textAlignment w:val="baseline"/>
        <w:rPr>
          <w:rFonts w:asciiTheme="majorHAnsi" w:hAnsiTheme="majorHAnsi" w:cs="Arial"/>
          <w:sz w:val="21"/>
          <w:szCs w:val="21"/>
          <w:lang w:eastAsia="en-GB"/>
        </w:rPr>
      </w:pPr>
      <w:r w:rsidRPr="0042729B">
        <w:rPr>
          <w:rFonts w:asciiTheme="majorHAnsi" w:hAnsiTheme="majorHAnsi" w:cs="Arial"/>
          <w:sz w:val="21"/>
          <w:szCs w:val="21"/>
          <w:lang w:eastAsia="en-GB"/>
        </w:rPr>
        <w:t>Progressive universalism in health insurance and social protection systems </w:t>
      </w:r>
    </w:p>
    <w:p w14:paraId="6DCB0421" w14:textId="77777777" w:rsidR="00E11173" w:rsidRPr="0042729B" w:rsidRDefault="00E11173" w:rsidP="007E5719">
      <w:pPr>
        <w:numPr>
          <w:ilvl w:val="0"/>
          <w:numId w:val="43"/>
        </w:numPr>
        <w:spacing w:after="240"/>
        <w:ind w:right="-941"/>
        <w:textAlignment w:val="baseline"/>
        <w:rPr>
          <w:rFonts w:asciiTheme="majorHAnsi" w:hAnsiTheme="majorHAnsi" w:cs="Arial"/>
          <w:sz w:val="21"/>
          <w:szCs w:val="21"/>
          <w:lang w:eastAsia="en-GB"/>
        </w:rPr>
      </w:pPr>
      <w:r w:rsidRPr="0042729B">
        <w:rPr>
          <w:rFonts w:asciiTheme="majorHAnsi" w:hAnsiTheme="majorHAnsi" w:cs="Arial"/>
          <w:sz w:val="21"/>
          <w:szCs w:val="21"/>
          <w:lang w:eastAsia="en-GB"/>
        </w:rPr>
        <w:t>Action to advance health equity between countries.</w:t>
      </w:r>
    </w:p>
    <w:p w14:paraId="12DB4AE6" w14:textId="4C53D275" w:rsidR="00F35BF7" w:rsidRPr="0042729B" w:rsidRDefault="0007475B" w:rsidP="007E5719">
      <w:pPr>
        <w:pStyle w:val="Heading3"/>
        <w:ind w:right="-941"/>
        <w:rPr>
          <w:rFonts w:asciiTheme="majorHAnsi" w:hAnsiTheme="majorHAnsi"/>
          <w:bCs/>
          <w:sz w:val="21"/>
          <w:szCs w:val="21"/>
        </w:rPr>
      </w:pPr>
      <w:r w:rsidRPr="0042729B">
        <w:rPr>
          <w:rFonts w:asciiTheme="majorHAnsi" w:hAnsiTheme="majorHAnsi"/>
          <w:sz w:val="21"/>
          <w:szCs w:val="21"/>
        </w:rPr>
        <w:t>Item 16.4 The highest attainable standard of health for persons with disabilities</w:t>
      </w:r>
    </w:p>
    <w:p w14:paraId="4BE75CC1" w14:textId="77777777" w:rsidR="0007475B" w:rsidRPr="0042729B" w:rsidRDefault="0007475B" w:rsidP="007E5719">
      <w:pPr>
        <w:pStyle w:val="paragraph"/>
        <w:spacing w:before="0" w:beforeAutospacing="0" w:after="0" w:afterAutospacing="0"/>
        <w:ind w:right="-941"/>
        <w:textAlignment w:val="baseline"/>
        <w:rPr>
          <w:rFonts w:asciiTheme="majorHAnsi" w:hAnsiTheme="majorHAnsi" w:cs="Calibri Light"/>
          <w:sz w:val="21"/>
          <w:szCs w:val="21"/>
        </w:rPr>
      </w:pPr>
      <w:r w:rsidRPr="0042729B">
        <w:rPr>
          <w:rStyle w:val="normaltextrun"/>
          <w:rFonts w:asciiTheme="majorHAnsi" w:hAnsiTheme="majorHAnsi" w:cs="Calibri Light"/>
          <w:sz w:val="21"/>
          <w:szCs w:val="21"/>
        </w:rPr>
        <w:t>We congratulate WHO on the Global Report on Health Equity for Persons with Disability. We welcome its recognition of the relationship between ageing and disability and alignment with the Decade of Healthy Ageing. These are mutually reinforcing agendas.</w:t>
      </w:r>
      <w:r w:rsidRPr="0042729B">
        <w:rPr>
          <w:rStyle w:val="eop"/>
          <w:rFonts w:asciiTheme="majorHAnsi" w:hAnsiTheme="majorHAnsi" w:cs="Calibri Light"/>
          <w:sz w:val="21"/>
          <w:szCs w:val="21"/>
        </w:rPr>
        <w:t> </w:t>
      </w:r>
    </w:p>
    <w:p w14:paraId="05DE4882" w14:textId="77777777" w:rsidR="0007475B" w:rsidRPr="0042729B" w:rsidRDefault="0007475B" w:rsidP="007E5719">
      <w:pPr>
        <w:pStyle w:val="paragraph"/>
        <w:spacing w:before="0" w:beforeAutospacing="0" w:after="0" w:afterAutospacing="0"/>
        <w:ind w:right="-941"/>
        <w:textAlignment w:val="baseline"/>
        <w:rPr>
          <w:rFonts w:asciiTheme="majorHAnsi" w:hAnsiTheme="majorHAnsi" w:cs="Calibri Light"/>
          <w:sz w:val="21"/>
          <w:szCs w:val="21"/>
        </w:rPr>
      </w:pPr>
      <w:r w:rsidRPr="0042729B">
        <w:rPr>
          <w:rStyle w:val="eop"/>
          <w:rFonts w:asciiTheme="majorHAnsi" w:hAnsiTheme="majorHAnsi" w:cs="Calibri Light"/>
          <w:sz w:val="21"/>
          <w:szCs w:val="21"/>
        </w:rPr>
        <w:t> </w:t>
      </w:r>
    </w:p>
    <w:p w14:paraId="3B906863" w14:textId="77777777" w:rsidR="0007475B" w:rsidRPr="0042729B" w:rsidRDefault="0007475B" w:rsidP="007E5719">
      <w:pPr>
        <w:pStyle w:val="paragraph"/>
        <w:spacing w:before="0" w:beforeAutospacing="0" w:after="0" w:afterAutospacing="0"/>
        <w:ind w:right="-941"/>
        <w:textAlignment w:val="baseline"/>
        <w:rPr>
          <w:rStyle w:val="normaltextrun"/>
          <w:rFonts w:asciiTheme="majorHAnsi" w:hAnsiTheme="majorHAnsi"/>
          <w:sz w:val="21"/>
          <w:szCs w:val="21"/>
        </w:rPr>
      </w:pPr>
      <w:r w:rsidRPr="0042729B">
        <w:rPr>
          <w:rStyle w:val="normaltextrun"/>
          <w:rFonts w:asciiTheme="majorHAnsi" w:hAnsiTheme="majorHAnsi" w:cs="Calibri Light"/>
          <w:sz w:val="21"/>
          <w:szCs w:val="21"/>
        </w:rPr>
        <w:t xml:space="preserve">Despite the devastating and disproportionate impact of COVID-19 persons with disabilities and older people globally, they are still being left behind in global health agendas. </w:t>
      </w:r>
    </w:p>
    <w:p w14:paraId="2E016A8B" w14:textId="77777777" w:rsidR="0007475B" w:rsidRPr="0042729B" w:rsidRDefault="0007475B" w:rsidP="007E5719">
      <w:pPr>
        <w:pStyle w:val="paragraph"/>
        <w:spacing w:before="0" w:beforeAutospacing="0" w:after="0" w:afterAutospacing="0"/>
        <w:ind w:right="-941"/>
        <w:textAlignment w:val="baseline"/>
        <w:rPr>
          <w:rStyle w:val="normaltextrun"/>
          <w:rFonts w:asciiTheme="majorHAnsi" w:hAnsiTheme="majorHAnsi" w:cs="Calibri Light"/>
          <w:sz w:val="21"/>
          <w:szCs w:val="21"/>
        </w:rPr>
      </w:pPr>
    </w:p>
    <w:p w14:paraId="07612267" w14:textId="77777777" w:rsidR="0007475B" w:rsidRPr="0042729B" w:rsidRDefault="0007475B" w:rsidP="007E5719">
      <w:pPr>
        <w:pStyle w:val="paragraph"/>
        <w:spacing w:before="0" w:beforeAutospacing="0" w:after="0" w:afterAutospacing="0"/>
        <w:ind w:right="-941"/>
        <w:textAlignment w:val="baseline"/>
        <w:rPr>
          <w:rStyle w:val="normaltextrun"/>
          <w:rFonts w:asciiTheme="majorHAnsi" w:hAnsiTheme="majorHAnsi" w:cs="Calibri Light"/>
          <w:sz w:val="21"/>
          <w:szCs w:val="21"/>
        </w:rPr>
      </w:pPr>
      <w:r w:rsidRPr="0042729B">
        <w:rPr>
          <w:rStyle w:val="normaltextrun"/>
          <w:rFonts w:asciiTheme="majorHAnsi" w:hAnsiTheme="majorHAnsi" w:cs="Calibri Light"/>
          <w:sz w:val="21"/>
          <w:szCs w:val="21"/>
        </w:rPr>
        <w:t>Urgent action is needed to address this gap and to advance health equity for persons with disabilities of all ages.</w:t>
      </w:r>
    </w:p>
    <w:p w14:paraId="34717CF8" w14:textId="77777777" w:rsidR="0007475B" w:rsidRPr="0042729B" w:rsidRDefault="0007475B" w:rsidP="007E5719">
      <w:pPr>
        <w:pStyle w:val="paragraph"/>
        <w:spacing w:before="0" w:beforeAutospacing="0" w:after="0" w:afterAutospacing="0"/>
        <w:ind w:right="-941"/>
        <w:textAlignment w:val="baseline"/>
        <w:rPr>
          <w:rFonts w:asciiTheme="majorHAnsi" w:hAnsiTheme="majorHAnsi"/>
          <w:sz w:val="21"/>
          <w:szCs w:val="21"/>
        </w:rPr>
      </w:pPr>
    </w:p>
    <w:p w14:paraId="00D40EBD" w14:textId="77777777" w:rsidR="0007475B" w:rsidRPr="0042729B" w:rsidRDefault="0007475B" w:rsidP="007E5719">
      <w:pPr>
        <w:pStyle w:val="paragraph"/>
        <w:spacing w:before="0" w:beforeAutospacing="0" w:after="0" w:afterAutospacing="0"/>
        <w:ind w:right="-941"/>
        <w:textAlignment w:val="baseline"/>
        <w:rPr>
          <w:rStyle w:val="eop"/>
          <w:rFonts w:asciiTheme="majorHAnsi" w:hAnsiTheme="majorHAnsi"/>
          <w:sz w:val="21"/>
          <w:szCs w:val="21"/>
        </w:rPr>
      </w:pPr>
      <w:r w:rsidRPr="0042729B">
        <w:rPr>
          <w:rStyle w:val="normaltextrun"/>
          <w:rFonts w:asciiTheme="majorHAnsi" w:hAnsiTheme="majorHAnsi" w:cs="Calibri Light"/>
          <w:sz w:val="21"/>
          <w:szCs w:val="21"/>
        </w:rPr>
        <w:t>We call on WHO and member states to:</w:t>
      </w:r>
      <w:r w:rsidRPr="0042729B">
        <w:rPr>
          <w:rStyle w:val="eop"/>
          <w:rFonts w:asciiTheme="majorHAnsi" w:hAnsiTheme="majorHAnsi" w:cs="Calibri Light"/>
          <w:sz w:val="21"/>
          <w:szCs w:val="21"/>
        </w:rPr>
        <w:t> </w:t>
      </w:r>
    </w:p>
    <w:p w14:paraId="62461790" w14:textId="77777777" w:rsidR="0007475B" w:rsidRPr="0042729B" w:rsidRDefault="0007475B" w:rsidP="007E5719">
      <w:pPr>
        <w:pStyle w:val="paragraph"/>
        <w:spacing w:before="0" w:beforeAutospacing="0" w:after="0" w:afterAutospacing="0"/>
        <w:ind w:right="-941"/>
        <w:textAlignment w:val="baseline"/>
        <w:rPr>
          <w:rFonts w:asciiTheme="majorHAnsi" w:hAnsiTheme="majorHAnsi"/>
          <w:sz w:val="21"/>
          <w:szCs w:val="21"/>
        </w:rPr>
      </w:pPr>
    </w:p>
    <w:p w14:paraId="3602E447" w14:textId="77777777" w:rsidR="0007475B" w:rsidRPr="0042729B" w:rsidRDefault="0007475B" w:rsidP="007E5719">
      <w:pPr>
        <w:pStyle w:val="paragraph"/>
        <w:numPr>
          <w:ilvl w:val="0"/>
          <w:numId w:val="45"/>
        </w:numPr>
        <w:spacing w:before="0" w:beforeAutospacing="0" w:after="0" w:afterAutospacing="0"/>
        <w:ind w:right="-941"/>
        <w:textAlignment w:val="baseline"/>
        <w:rPr>
          <w:rFonts w:asciiTheme="majorHAnsi" w:eastAsia="Times New Roman" w:hAnsiTheme="majorHAnsi" w:cs="Calibri Light"/>
          <w:sz w:val="21"/>
          <w:szCs w:val="21"/>
        </w:rPr>
      </w:pPr>
      <w:r w:rsidRPr="0042729B">
        <w:rPr>
          <w:rStyle w:val="normaltextrun"/>
          <w:rFonts w:asciiTheme="majorHAnsi" w:eastAsia="Times New Roman" w:hAnsiTheme="majorHAnsi" w:cs="Calibri Light"/>
          <w:sz w:val="21"/>
          <w:szCs w:val="21"/>
        </w:rPr>
        <w:t>Address the attitudinal, institutional and environmental barriers older people and persons with disability face in enjoying their right to health.</w:t>
      </w:r>
      <w:r w:rsidRPr="0042729B">
        <w:rPr>
          <w:rStyle w:val="eop"/>
          <w:rFonts w:asciiTheme="majorHAnsi" w:eastAsia="Times New Roman" w:hAnsiTheme="majorHAnsi" w:cs="Calibri Light"/>
          <w:sz w:val="21"/>
          <w:szCs w:val="21"/>
        </w:rPr>
        <w:t> </w:t>
      </w:r>
    </w:p>
    <w:p w14:paraId="27FC4B7D" w14:textId="6B283EF2" w:rsidR="0007475B" w:rsidRPr="0042729B" w:rsidRDefault="0007475B" w:rsidP="007E5719">
      <w:pPr>
        <w:pStyle w:val="paragraph"/>
        <w:numPr>
          <w:ilvl w:val="0"/>
          <w:numId w:val="45"/>
        </w:numPr>
        <w:spacing w:before="0" w:beforeAutospacing="0" w:after="0" w:afterAutospacing="0"/>
        <w:ind w:right="-941"/>
        <w:textAlignment w:val="baseline"/>
        <w:rPr>
          <w:rFonts w:asciiTheme="majorHAnsi" w:eastAsia="Times New Roman" w:hAnsiTheme="majorHAnsi" w:cs="Calibri Light"/>
          <w:sz w:val="21"/>
          <w:szCs w:val="21"/>
        </w:rPr>
      </w:pPr>
      <w:r w:rsidRPr="0042729B">
        <w:rPr>
          <w:rStyle w:val="normaltextrun"/>
          <w:rFonts w:asciiTheme="majorHAnsi" w:eastAsia="Times New Roman" w:hAnsiTheme="majorHAnsi" w:cs="Calibri Light"/>
          <w:sz w:val="21"/>
          <w:szCs w:val="21"/>
        </w:rPr>
        <w:t>Invest in age, gender and disability responsive models of UHC that promote healthy ageing through person-centred and integrated primary and community-based health and care services that reach the furthest behind first</w:t>
      </w:r>
      <w:r w:rsidRPr="0042729B">
        <w:rPr>
          <w:rStyle w:val="eop"/>
          <w:rFonts w:asciiTheme="majorHAnsi" w:eastAsia="Times New Roman" w:hAnsiTheme="majorHAnsi" w:cs="Calibri Light"/>
          <w:sz w:val="21"/>
          <w:szCs w:val="21"/>
        </w:rPr>
        <w:t>.</w:t>
      </w:r>
    </w:p>
    <w:p w14:paraId="14E8D022" w14:textId="77777777" w:rsidR="0007475B" w:rsidRPr="0042729B" w:rsidRDefault="0007475B" w:rsidP="007E5719">
      <w:pPr>
        <w:pStyle w:val="paragraph"/>
        <w:numPr>
          <w:ilvl w:val="0"/>
          <w:numId w:val="45"/>
        </w:numPr>
        <w:spacing w:before="0" w:beforeAutospacing="0" w:after="0" w:afterAutospacing="0"/>
        <w:ind w:right="-941"/>
        <w:textAlignment w:val="baseline"/>
        <w:rPr>
          <w:rStyle w:val="normaltextrun"/>
          <w:rFonts w:asciiTheme="majorHAnsi" w:hAnsiTheme="majorHAnsi"/>
          <w:sz w:val="21"/>
          <w:szCs w:val="21"/>
        </w:rPr>
      </w:pPr>
      <w:r w:rsidRPr="0042729B">
        <w:rPr>
          <w:rStyle w:val="normaltextrun"/>
          <w:rFonts w:asciiTheme="majorHAnsi" w:eastAsia="Times New Roman" w:hAnsiTheme="majorHAnsi" w:cs="Calibri Light"/>
          <w:sz w:val="21"/>
          <w:szCs w:val="21"/>
        </w:rPr>
        <w:t>Adopt a rights-based approach to UHC, PPPR and promoting health and wellbeing for all, ensuring the meaningful participation of older people and persons with disability at all levels.</w:t>
      </w:r>
    </w:p>
    <w:p w14:paraId="42855409" w14:textId="77777777" w:rsidR="0007475B" w:rsidRPr="0042729B" w:rsidRDefault="0007475B" w:rsidP="007E5719">
      <w:pPr>
        <w:ind w:right="-941"/>
        <w:rPr>
          <w:rFonts w:asciiTheme="majorHAnsi" w:hAnsiTheme="majorHAnsi"/>
          <w:sz w:val="21"/>
          <w:szCs w:val="21"/>
        </w:rPr>
      </w:pPr>
    </w:p>
    <w:p w14:paraId="563EE791" w14:textId="77777777" w:rsidR="0069575A" w:rsidRDefault="0069575A" w:rsidP="0069575A">
      <w:pPr>
        <w:spacing w:after="0"/>
        <w:ind w:right="-810"/>
        <w:textAlignment w:val="baseline"/>
        <w:rPr>
          <w:rFonts w:cs="Segoe UI"/>
          <w:b/>
          <w:bCs/>
          <w:color w:val="F15720"/>
          <w:sz w:val="21"/>
          <w:szCs w:val="21"/>
          <w:lang w:eastAsia="en-GB"/>
        </w:rPr>
      </w:pPr>
      <w:r w:rsidRPr="0069575A">
        <w:rPr>
          <w:rFonts w:cs="Segoe UI"/>
          <w:b/>
          <w:bCs/>
          <w:color w:val="F15720"/>
          <w:sz w:val="21"/>
          <w:szCs w:val="21"/>
          <w:lang w:eastAsia="en-GB"/>
        </w:rPr>
        <w:t>Agenda item 27.1 Group 4.3 Decade of Healthy Ageing 2020-2030 </w:t>
      </w:r>
    </w:p>
    <w:p w14:paraId="196EF5E6" w14:textId="77777777" w:rsidR="0069575A" w:rsidRPr="0069575A" w:rsidRDefault="0069575A" w:rsidP="0069575A">
      <w:pPr>
        <w:spacing w:after="0"/>
        <w:ind w:right="-810"/>
        <w:textAlignment w:val="baseline"/>
        <w:rPr>
          <w:rFonts w:ascii="Segoe UI" w:hAnsi="Segoe UI" w:cs="Segoe UI"/>
          <w:b/>
          <w:bCs/>
          <w:color w:val="F15720"/>
          <w:sz w:val="18"/>
          <w:szCs w:val="18"/>
          <w:lang w:eastAsia="en-GB"/>
        </w:rPr>
      </w:pPr>
    </w:p>
    <w:p w14:paraId="46468536" w14:textId="77777777" w:rsidR="0069575A" w:rsidRDefault="0069575A" w:rsidP="0069575A">
      <w:pPr>
        <w:spacing w:after="0"/>
        <w:ind w:right="-945"/>
        <w:textAlignment w:val="baseline"/>
        <w:rPr>
          <w:rFonts w:ascii="Segoe UI" w:hAnsi="Segoe UI" w:cs="Segoe UI"/>
          <w:b/>
          <w:bCs/>
          <w:sz w:val="21"/>
          <w:szCs w:val="21"/>
          <w:lang w:eastAsia="en-GB"/>
        </w:rPr>
      </w:pPr>
      <w:r w:rsidRPr="0069575A">
        <w:rPr>
          <w:rFonts w:ascii="Segoe UI" w:hAnsi="Segoe UI" w:cs="Segoe UI"/>
          <w:sz w:val="21"/>
          <w:szCs w:val="21"/>
          <w:lang w:eastAsia="en-GB"/>
        </w:rPr>
        <w:t>We congratulate WHO for their leadership and action on the Decade of Healthy Ageing.</w:t>
      </w:r>
      <w:r w:rsidRPr="0069575A">
        <w:rPr>
          <w:rFonts w:ascii="Segoe UI" w:hAnsi="Segoe UI" w:cs="Segoe UI"/>
          <w:b/>
          <w:bCs/>
          <w:sz w:val="21"/>
          <w:szCs w:val="21"/>
          <w:lang w:eastAsia="en-GB"/>
        </w:rPr>
        <w:t> </w:t>
      </w:r>
    </w:p>
    <w:p w14:paraId="72BB132B" w14:textId="77777777" w:rsidR="0069575A" w:rsidRPr="0069575A" w:rsidRDefault="0069575A" w:rsidP="0069575A">
      <w:pPr>
        <w:spacing w:after="0"/>
        <w:ind w:right="-945"/>
        <w:textAlignment w:val="baseline"/>
        <w:rPr>
          <w:rFonts w:ascii="Segoe UI" w:hAnsi="Segoe UI" w:cs="Segoe UI"/>
          <w:b/>
          <w:bCs/>
          <w:color w:val="F15720"/>
          <w:sz w:val="18"/>
          <w:szCs w:val="18"/>
          <w:lang w:eastAsia="en-GB"/>
        </w:rPr>
      </w:pPr>
    </w:p>
    <w:p w14:paraId="1A7132CC" w14:textId="77777777" w:rsidR="0069575A" w:rsidRDefault="0069575A" w:rsidP="0069575A">
      <w:pPr>
        <w:spacing w:after="0"/>
        <w:ind w:right="-945"/>
        <w:textAlignment w:val="baseline"/>
        <w:rPr>
          <w:rFonts w:ascii="Segoe UI" w:hAnsi="Segoe UI" w:cs="Segoe UI"/>
          <w:b/>
          <w:bCs/>
          <w:sz w:val="21"/>
          <w:szCs w:val="21"/>
          <w:lang w:eastAsia="en-GB"/>
        </w:rPr>
      </w:pPr>
      <w:r w:rsidRPr="0069575A">
        <w:rPr>
          <w:rFonts w:ascii="Segoe UI" w:hAnsi="Segoe UI" w:cs="Segoe UI"/>
          <w:sz w:val="21"/>
          <w:szCs w:val="21"/>
          <w:lang w:eastAsia="en-GB"/>
        </w:rPr>
        <w:t>We strongly support the Decade’s focus on tackling ageism, promoting age friendly cities and communities, strengthening person-centred integrated care and primary health services, and promoting access to long-term care and support for older people and their caregivers. We commend WHO and other partners for progress in these areas.</w:t>
      </w:r>
      <w:r w:rsidRPr="0069575A">
        <w:rPr>
          <w:rFonts w:ascii="Segoe UI" w:hAnsi="Segoe UI" w:cs="Segoe UI"/>
          <w:b/>
          <w:bCs/>
          <w:sz w:val="21"/>
          <w:szCs w:val="21"/>
          <w:lang w:eastAsia="en-GB"/>
        </w:rPr>
        <w:t> </w:t>
      </w:r>
    </w:p>
    <w:p w14:paraId="6BC79574" w14:textId="77777777" w:rsidR="0069575A" w:rsidRPr="0069575A" w:rsidRDefault="0069575A" w:rsidP="0069575A">
      <w:pPr>
        <w:spacing w:after="0"/>
        <w:ind w:right="-945"/>
        <w:textAlignment w:val="baseline"/>
        <w:rPr>
          <w:rFonts w:ascii="Segoe UI" w:hAnsi="Segoe UI" w:cs="Segoe UI"/>
          <w:b/>
          <w:bCs/>
          <w:color w:val="F15720"/>
          <w:sz w:val="18"/>
          <w:szCs w:val="18"/>
          <w:lang w:eastAsia="en-GB"/>
        </w:rPr>
      </w:pPr>
    </w:p>
    <w:p w14:paraId="03B68F35" w14:textId="77777777" w:rsidR="0069575A" w:rsidRDefault="0069575A" w:rsidP="0069575A">
      <w:pPr>
        <w:spacing w:after="0"/>
        <w:ind w:right="-945"/>
        <w:textAlignment w:val="baseline"/>
        <w:rPr>
          <w:rFonts w:ascii="Segoe UI" w:hAnsi="Segoe UI" w:cs="Segoe UI"/>
          <w:b/>
          <w:bCs/>
          <w:sz w:val="21"/>
          <w:szCs w:val="21"/>
          <w:lang w:eastAsia="en-GB"/>
        </w:rPr>
      </w:pPr>
      <w:r w:rsidRPr="0069575A">
        <w:rPr>
          <w:rFonts w:ascii="Segoe UI" w:hAnsi="Segoe UI" w:cs="Segoe UI"/>
          <w:sz w:val="21"/>
          <w:szCs w:val="21"/>
          <w:lang w:eastAsia="en-GB"/>
        </w:rPr>
        <w:t>By 2030, 1.4 billion people will be aged 60 and over. Yet the majority of systems and services worldwide remain unprepared for population ageing. This is especially true in low-and middle-income countries where over 70% of older people live.</w:t>
      </w:r>
      <w:r w:rsidRPr="0069575A">
        <w:rPr>
          <w:rFonts w:ascii="Segoe UI" w:hAnsi="Segoe UI" w:cs="Segoe UI"/>
          <w:b/>
          <w:bCs/>
          <w:sz w:val="21"/>
          <w:szCs w:val="21"/>
          <w:lang w:eastAsia="en-GB"/>
        </w:rPr>
        <w:t> </w:t>
      </w:r>
    </w:p>
    <w:p w14:paraId="17AA43A8" w14:textId="77777777" w:rsidR="0069575A" w:rsidRPr="0069575A" w:rsidRDefault="0069575A" w:rsidP="0069575A">
      <w:pPr>
        <w:spacing w:after="0"/>
        <w:ind w:right="-945"/>
        <w:textAlignment w:val="baseline"/>
        <w:rPr>
          <w:rFonts w:ascii="Segoe UI" w:hAnsi="Segoe UI" w:cs="Segoe UI"/>
          <w:b/>
          <w:bCs/>
          <w:color w:val="F15720"/>
          <w:sz w:val="18"/>
          <w:szCs w:val="18"/>
          <w:lang w:eastAsia="en-GB"/>
        </w:rPr>
      </w:pPr>
    </w:p>
    <w:p w14:paraId="0DA0A898" w14:textId="77777777" w:rsidR="0069575A" w:rsidRDefault="0069575A" w:rsidP="0069575A">
      <w:pPr>
        <w:spacing w:after="0"/>
        <w:ind w:right="-945"/>
        <w:textAlignment w:val="baseline"/>
        <w:rPr>
          <w:rFonts w:ascii="Segoe UI" w:hAnsi="Segoe UI" w:cs="Segoe UI"/>
          <w:b/>
          <w:bCs/>
          <w:sz w:val="21"/>
          <w:szCs w:val="21"/>
          <w:lang w:eastAsia="en-GB"/>
        </w:rPr>
      </w:pPr>
      <w:r w:rsidRPr="0069575A">
        <w:rPr>
          <w:rFonts w:ascii="Segoe UI" w:hAnsi="Segoe UI" w:cs="Segoe UI"/>
          <w:sz w:val="21"/>
          <w:szCs w:val="21"/>
          <w:lang w:eastAsia="en-GB"/>
        </w:rPr>
        <w:t>Today, 142 million older people globally are unable to meet their basic needs, while ageism, age discrimination and a lack of age, gender and disability responsive policies, laws, systems, services and communities, mean they are unable to enjoy their fundamental human rights. This has been brutally highlighted during COVID-19 when despite being among the groups most at risk, older people have been left behind and discriminated against in responses. It is also witnessed in ongoing humanitarian emergencies, including in Ukraine, Horn of Africa and responses to the Turkey Syria earthquake.</w:t>
      </w:r>
      <w:r w:rsidRPr="0069575A">
        <w:rPr>
          <w:rFonts w:ascii="Segoe UI" w:hAnsi="Segoe UI" w:cs="Segoe UI"/>
          <w:b/>
          <w:bCs/>
          <w:sz w:val="21"/>
          <w:szCs w:val="21"/>
          <w:lang w:eastAsia="en-GB"/>
        </w:rPr>
        <w:t> </w:t>
      </w:r>
    </w:p>
    <w:p w14:paraId="5B53F2E4" w14:textId="77777777" w:rsidR="0069575A" w:rsidRPr="0069575A" w:rsidRDefault="0069575A" w:rsidP="0069575A">
      <w:pPr>
        <w:spacing w:after="0"/>
        <w:ind w:right="-945"/>
        <w:textAlignment w:val="baseline"/>
        <w:rPr>
          <w:rFonts w:ascii="Segoe UI" w:hAnsi="Segoe UI" w:cs="Segoe UI"/>
          <w:b/>
          <w:bCs/>
          <w:color w:val="F15720"/>
          <w:sz w:val="18"/>
          <w:szCs w:val="18"/>
          <w:lang w:eastAsia="en-GB"/>
        </w:rPr>
      </w:pPr>
    </w:p>
    <w:p w14:paraId="67707581" w14:textId="7BE860D6" w:rsidR="0069575A" w:rsidRPr="0069575A" w:rsidRDefault="0069575A" w:rsidP="0069575A">
      <w:pPr>
        <w:spacing w:after="0"/>
        <w:ind w:right="-945"/>
        <w:textAlignment w:val="baseline"/>
        <w:rPr>
          <w:rFonts w:ascii="Segoe UI" w:hAnsi="Segoe UI" w:cs="Segoe UI"/>
          <w:sz w:val="21"/>
          <w:szCs w:val="21"/>
          <w:lang w:eastAsia="en-GB"/>
        </w:rPr>
      </w:pPr>
      <w:r w:rsidRPr="0069575A">
        <w:rPr>
          <w:rFonts w:ascii="Segoe UI" w:hAnsi="Segoe UI" w:cs="Segoe UI"/>
          <w:sz w:val="21"/>
          <w:szCs w:val="21"/>
          <w:lang w:eastAsia="en-GB"/>
        </w:rPr>
        <w:t>To achieve its ambitions, we call for greater investment and commitment to the Decade at the highest levels, and stronger collaboration across UN, Member States, private sector, academic and research institutes, and civil society to ensure older people’s needs and rights are included within population wide agendas – with a focus on advancing equity between and within countries, reaching the furthest behind first. We call for legal and policy frameworks, systems and services fit for an ageing world, underpinned by a new convention on the rights of older people and inclusive data systems, noting there is currently no indicator on older people in either the SDGs, the UHC index or the WHO GPW</w:t>
      </w:r>
      <w:r>
        <w:rPr>
          <w:rFonts w:ascii="Segoe UI" w:hAnsi="Segoe UI" w:cs="Segoe UI"/>
          <w:sz w:val="21"/>
          <w:szCs w:val="21"/>
          <w:lang w:eastAsia="en-GB"/>
        </w:rPr>
        <w:t>13</w:t>
      </w:r>
      <w:r w:rsidRPr="0069575A">
        <w:rPr>
          <w:rFonts w:ascii="Segoe UI" w:hAnsi="Segoe UI" w:cs="Segoe UI"/>
          <w:sz w:val="21"/>
          <w:szCs w:val="21"/>
          <w:lang w:eastAsia="en-GB"/>
        </w:rPr>
        <w:t>. And we call for the engagement, meaningful participation and empowerment of older people at all levels.</w:t>
      </w:r>
      <w:r w:rsidRPr="0069575A">
        <w:rPr>
          <w:rFonts w:ascii="Segoe UI" w:hAnsi="Segoe UI" w:cs="Segoe UI"/>
          <w:b/>
          <w:bCs/>
          <w:sz w:val="21"/>
          <w:szCs w:val="21"/>
          <w:lang w:eastAsia="en-GB"/>
        </w:rPr>
        <w:t> </w:t>
      </w:r>
    </w:p>
    <w:p w14:paraId="484CE3F5" w14:textId="77777777" w:rsidR="00E11173" w:rsidRPr="0042729B" w:rsidRDefault="00E11173" w:rsidP="007E5719">
      <w:pPr>
        <w:ind w:right="-941"/>
        <w:rPr>
          <w:rFonts w:asciiTheme="majorHAnsi" w:hAnsiTheme="majorHAnsi"/>
          <w:sz w:val="21"/>
          <w:szCs w:val="21"/>
        </w:rPr>
      </w:pPr>
    </w:p>
    <w:p w14:paraId="7CA163A0" w14:textId="77777777" w:rsidR="00E11173" w:rsidRPr="0042729B" w:rsidRDefault="00E11173" w:rsidP="00112F1C">
      <w:pPr>
        <w:ind w:right="-799"/>
        <w:rPr>
          <w:rFonts w:asciiTheme="majorHAnsi" w:hAnsiTheme="majorHAnsi"/>
          <w:sz w:val="21"/>
          <w:szCs w:val="21"/>
        </w:rPr>
      </w:pPr>
    </w:p>
    <w:sectPr w:rsidR="00E11173" w:rsidRPr="0042729B" w:rsidSect="00216298">
      <w:footerReference w:type="even" r:id="rId13"/>
      <w:footerReference w:type="default" r:id="rId14"/>
      <w:endnotePr>
        <w:numFmt w:val="decimal"/>
      </w:endnotePr>
      <w:type w:val="continuous"/>
      <w:pgSz w:w="11901" w:h="16840"/>
      <w:pgMar w:top="1134" w:right="2381" w:bottom="907" w:left="1247" w:header="680"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9CDB" w14:textId="77777777" w:rsidR="00B9616A" w:rsidRPr="00793B54" w:rsidRDefault="00B9616A" w:rsidP="003117C7">
      <w:pPr>
        <w:pStyle w:val="EndnoteText"/>
        <w:spacing w:after="0"/>
        <w:rPr>
          <w:sz w:val="4"/>
          <w:szCs w:val="4"/>
        </w:rPr>
      </w:pPr>
    </w:p>
  </w:endnote>
  <w:endnote w:type="continuationSeparator" w:id="0">
    <w:p w14:paraId="0A2441D6" w14:textId="77777777" w:rsidR="00B9616A" w:rsidRDefault="00B9616A">
      <w:pPr>
        <w:spacing w:after="0"/>
      </w:pPr>
      <w:r>
        <w:continuationSeparator/>
      </w:r>
    </w:p>
    <w:p w14:paraId="2BFE56C1" w14:textId="77777777" w:rsidR="00B9616A" w:rsidRDefault="00B96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exia XBold">
    <w:altName w:val="Calibri"/>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D37F4" w:rsidRDefault="00BD37F4" w:rsidP="00A93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EC669" w14:textId="77777777" w:rsidR="00BD37F4" w:rsidRDefault="00BD37F4" w:rsidP="00A9389B">
    <w:pPr>
      <w:pStyle w:val="Footer"/>
      <w:ind w:right="360"/>
    </w:pPr>
  </w:p>
  <w:p w14:paraId="3656B9AB" w14:textId="77777777" w:rsidR="00BD37F4" w:rsidRDefault="00BD37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725C" w14:textId="77777777" w:rsidR="00BD37F4" w:rsidRDefault="00BD37F4" w:rsidP="00F1050B">
    <w:pPr>
      <w:pStyle w:val="Header"/>
      <w:tabs>
        <w:tab w:val="clear" w:pos="8278"/>
      </w:tabs>
      <w:ind w:right="-1701"/>
      <w:jc w:val="right"/>
    </w:pPr>
    <w:r>
      <w:tab/>
    </w:r>
    <w:r w:rsidRPr="00474D32">
      <w:rPr>
        <w:rStyle w:val="PageNumber"/>
        <w:b/>
      </w:rPr>
      <w:fldChar w:fldCharType="begin"/>
    </w:r>
    <w:r w:rsidRPr="00474D32">
      <w:rPr>
        <w:rStyle w:val="PageNumber"/>
        <w:b/>
      </w:rPr>
      <w:instrText xml:space="preserve"> PAGE  \* MERGEFORMAT </w:instrText>
    </w:r>
    <w:r w:rsidRPr="00474D32">
      <w:rPr>
        <w:rStyle w:val="PageNumber"/>
        <w:b/>
      </w:rPr>
      <w:fldChar w:fldCharType="separate"/>
    </w:r>
    <w:r w:rsidR="00F1050B">
      <w:rPr>
        <w:rStyle w:val="PageNumber"/>
        <w:b/>
        <w:noProof/>
      </w:rPr>
      <w:t>2</w:t>
    </w:r>
    <w:r w:rsidRPr="00474D32">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7ED9" w14:textId="77777777" w:rsidR="00B9616A" w:rsidRDefault="00B9616A">
      <w:pPr>
        <w:spacing w:after="0"/>
      </w:pPr>
      <w:r>
        <w:separator/>
      </w:r>
    </w:p>
    <w:p w14:paraId="5057469D" w14:textId="77777777" w:rsidR="00B9616A" w:rsidRDefault="00B9616A"/>
  </w:footnote>
  <w:footnote w:type="continuationSeparator" w:id="0">
    <w:p w14:paraId="1B40B465" w14:textId="77777777" w:rsidR="00B9616A" w:rsidRDefault="00B9616A">
      <w:pPr>
        <w:spacing w:after="0"/>
      </w:pPr>
      <w:r>
        <w:continuationSeparator/>
      </w:r>
    </w:p>
    <w:p w14:paraId="1C553ED1" w14:textId="77777777" w:rsidR="00B9616A" w:rsidRDefault="00B96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40D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2239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DCEE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0638C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ABC90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45C95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1809A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C003E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3A5F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00C322"/>
    <w:lvl w:ilvl="0">
      <w:start w:val="1"/>
      <w:numFmt w:val="decimal"/>
      <w:pStyle w:val="ListNumber"/>
      <w:lvlText w:val="%1."/>
      <w:lvlJc w:val="left"/>
      <w:pPr>
        <w:tabs>
          <w:tab w:val="num" w:pos="360"/>
        </w:tabs>
        <w:ind w:left="360" w:hanging="360"/>
      </w:pPr>
      <w:rPr>
        <w:rFonts w:ascii="Verdana" w:hAnsi="Verdana" w:hint="default"/>
        <w:b/>
        <w:bCs/>
        <w:i w:val="0"/>
        <w:iCs w:val="0"/>
        <w:color w:val="F15720" w:themeColor="accent3"/>
        <w:sz w:val="20"/>
        <w:szCs w:val="20"/>
      </w:rPr>
    </w:lvl>
  </w:abstractNum>
  <w:abstractNum w:abstractNumId="10" w15:restartNumberingAfterBreak="0">
    <w:nsid w:val="FFFFFF89"/>
    <w:multiLevelType w:val="singleLevel"/>
    <w:tmpl w:val="37D660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A3318"/>
    <w:multiLevelType w:val="multilevel"/>
    <w:tmpl w:val="BF0A7DDC"/>
    <w:lvl w:ilvl="0">
      <w:start w:val="1"/>
      <w:numFmt w:val="bullet"/>
      <w:lvlText w:val="•"/>
      <w:lvlJc w:val="left"/>
      <w:pPr>
        <w:tabs>
          <w:tab w:val="num" w:pos="284"/>
        </w:tabs>
        <w:ind w:left="284" w:hanging="284"/>
      </w:pPr>
      <w:rPr>
        <w:rFonts w:ascii="Lexia XBold" w:hAnsi="Lexia XBold" w:hint="default"/>
        <w:color w:val="F25821"/>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F46C5F"/>
    <w:multiLevelType w:val="hybridMultilevel"/>
    <w:tmpl w:val="80666A2A"/>
    <w:lvl w:ilvl="0" w:tplc="70E0B23C">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8839B9"/>
    <w:multiLevelType w:val="hybridMultilevel"/>
    <w:tmpl w:val="4CB4F06E"/>
    <w:lvl w:ilvl="0" w:tplc="000F0409">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5E7DBE"/>
    <w:multiLevelType w:val="multilevel"/>
    <w:tmpl w:val="F24E3966"/>
    <w:lvl w:ilvl="0">
      <w:start w:val="1"/>
      <w:numFmt w:val="bullet"/>
      <w:lvlText w:val="•"/>
      <w:lvlJc w:val="left"/>
      <w:pPr>
        <w:tabs>
          <w:tab w:val="num" w:pos="284"/>
        </w:tabs>
        <w:ind w:left="0" w:firstLine="0"/>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20782D"/>
    <w:multiLevelType w:val="multilevel"/>
    <w:tmpl w:val="6EF8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71491F"/>
    <w:multiLevelType w:val="multilevel"/>
    <w:tmpl w:val="69A69BEA"/>
    <w:lvl w:ilvl="0">
      <w:start w:val="1"/>
      <w:numFmt w:val="bullet"/>
      <w:lvlText w:val="•"/>
      <w:lvlJc w:val="left"/>
      <w:pPr>
        <w:tabs>
          <w:tab w:val="num" w:pos="284"/>
        </w:tabs>
        <w:ind w:left="284" w:hanging="284"/>
      </w:pPr>
      <w:rPr>
        <w:rFonts w:ascii="Lexia XBold" w:hAnsi="Lexia XBold" w:hint="default"/>
        <w:color w:val="F25821"/>
        <w:sz w:val="1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796A56"/>
    <w:multiLevelType w:val="hybridMultilevel"/>
    <w:tmpl w:val="8C787DA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1F8F59D6"/>
    <w:multiLevelType w:val="multilevel"/>
    <w:tmpl w:val="60224F7A"/>
    <w:lvl w:ilvl="0">
      <w:start w:val="1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1184EA8"/>
    <w:multiLevelType w:val="multilevel"/>
    <w:tmpl w:val="7B0C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F15E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7E3570"/>
    <w:multiLevelType w:val="multilevel"/>
    <w:tmpl w:val="205609F8"/>
    <w:lvl w:ilvl="0">
      <w:start w:val="1"/>
      <w:numFmt w:val="bullet"/>
      <w:lvlText w:val="•"/>
      <w:lvlJc w:val="left"/>
      <w:pPr>
        <w:tabs>
          <w:tab w:val="num" w:pos="284"/>
        </w:tabs>
        <w:ind w:left="284" w:hanging="284"/>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853ABB"/>
    <w:multiLevelType w:val="hybridMultilevel"/>
    <w:tmpl w:val="BE681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D1379DB"/>
    <w:multiLevelType w:val="multilevel"/>
    <w:tmpl w:val="2D7AEAEA"/>
    <w:lvl w:ilvl="0">
      <w:start w:val="1"/>
      <w:numFmt w:val="bullet"/>
      <w:lvlText w:val="•"/>
      <w:lvlJc w:val="left"/>
      <w:pPr>
        <w:tabs>
          <w:tab w:val="num" w:pos="284"/>
        </w:tabs>
        <w:ind w:left="284" w:hanging="284"/>
      </w:pPr>
      <w:rPr>
        <w:rFonts w:ascii="Lexia XBold" w:hAnsi="Lexia XBold"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2207D9"/>
    <w:multiLevelType w:val="hybridMultilevel"/>
    <w:tmpl w:val="51C0849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2E703945"/>
    <w:multiLevelType w:val="multilevel"/>
    <w:tmpl w:val="AFACE59E"/>
    <w:lvl w:ilvl="0">
      <w:start w:val="1"/>
      <w:numFmt w:val="bullet"/>
      <w:lvlText w:val="•"/>
      <w:lvlJc w:val="left"/>
      <w:pPr>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CF7EA8"/>
    <w:multiLevelType w:val="hybridMultilevel"/>
    <w:tmpl w:val="553E82DE"/>
    <w:lvl w:ilvl="0" w:tplc="96D4E99A">
      <w:start w:val="1"/>
      <w:numFmt w:val="bullet"/>
      <w:lvlText w:val="•"/>
      <w:lvlJc w:val="left"/>
      <w:pPr>
        <w:tabs>
          <w:tab w:val="num" w:pos="284"/>
        </w:tabs>
        <w:ind w:left="284" w:hanging="284"/>
      </w:pPr>
      <w:rPr>
        <w:rFonts w:ascii="Lexia XBold" w:hAnsi="Lexia XBold" w:hint="default"/>
        <w:color w:val="FF660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F869B1"/>
    <w:multiLevelType w:val="hybridMultilevel"/>
    <w:tmpl w:val="3A6CD30E"/>
    <w:lvl w:ilvl="0" w:tplc="70E0B23C">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C7E5FFE"/>
    <w:multiLevelType w:val="multilevel"/>
    <w:tmpl w:val="A812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AE2B5A"/>
    <w:multiLevelType w:val="multilevel"/>
    <w:tmpl w:val="EA2410EA"/>
    <w:lvl w:ilvl="0">
      <w:start w:val="1"/>
      <w:numFmt w:val="bullet"/>
      <w:lvlText w:val="•"/>
      <w:lvlJc w:val="left"/>
      <w:pPr>
        <w:tabs>
          <w:tab w:val="num" w:pos="284"/>
        </w:tabs>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D42DD0"/>
    <w:multiLevelType w:val="multilevel"/>
    <w:tmpl w:val="2D00B7B6"/>
    <w:lvl w:ilvl="0">
      <w:start w:val="1"/>
      <w:numFmt w:val="bullet"/>
      <w:lvlText w:val="•"/>
      <w:lvlJc w:val="left"/>
      <w:pPr>
        <w:tabs>
          <w:tab w:val="num" w:pos="284"/>
        </w:tabs>
        <w:ind w:left="284" w:hanging="284"/>
      </w:pPr>
      <w:rPr>
        <w:rFonts w:ascii="Lexia XBold" w:hAnsi="Lexia XBold" w:hint="default"/>
        <w:color w:val="F25821"/>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B82556"/>
    <w:multiLevelType w:val="hybridMultilevel"/>
    <w:tmpl w:val="37D6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66706"/>
    <w:multiLevelType w:val="hybridMultilevel"/>
    <w:tmpl w:val="5F269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8436E0"/>
    <w:multiLevelType w:val="hybridMultilevel"/>
    <w:tmpl w:val="DF52D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6000A02"/>
    <w:multiLevelType w:val="hybridMultilevel"/>
    <w:tmpl w:val="D982E23A"/>
    <w:lvl w:ilvl="0" w:tplc="80443340">
      <w:start w:val="1"/>
      <w:numFmt w:val="bullet"/>
      <w:pStyle w:val="ListBullet"/>
      <w:lvlText w:val="•"/>
      <w:lvlJc w:val="left"/>
      <w:pPr>
        <w:tabs>
          <w:tab w:val="num" w:pos="284"/>
        </w:tabs>
        <w:ind w:left="284" w:hanging="284"/>
      </w:pPr>
      <w:rPr>
        <w:rFonts w:ascii="Lexia XBold" w:hAnsi="Lexia XBold" w:hint="default"/>
        <w:color w:val="F15720" w:themeColor="accent3"/>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1B1B05"/>
    <w:multiLevelType w:val="hybridMultilevel"/>
    <w:tmpl w:val="6AA0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9F025A"/>
    <w:multiLevelType w:val="multilevel"/>
    <w:tmpl w:val="5D1EDB88"/>
    <w:lvl w:ilvl="0">
      <w:start w:val="1"/>
      <w:numFmt w:val="bullet"/>
      <w:lvlText w:val="•"/>
      <w:lvlJc w:val="left"/>
      <w:pPr>
        <w:tabs>
          <w:tab w:val="num" w:pos="284"/>
        </w:tabs>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AE339B"/>
    <w:multiLevelType w:val="multilevel"/>
    <w:tmpl w:val="7616ABE6"/>
    <w:lvl w:ilvl="0">
      <w:start w:val="1"/>
      <w:numFmt w:val="bullet"/>
      <w:lvlText w:val="•"/>
      <w:lvlJc w:val="left"/>
      <w:pPr>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E3E32"/>
    <w:multiLevelType w:val="hybridMultilevel"/>
    <w:tmpl w:val="79645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2CA19EA"/>
    <w:multiLevelType w:val="multilevel"/>
    <w:tmpl w:val="CF4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E0054B"/>
    <w:multiLevelType w:val="hybridMultilevel"/>
    <w:tmpl w:val="6AF8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BD4FCE"/>
    <w:multiLevelType w:val="multilevel"/>
    <w:tmpl w:val="F32A5C28"/>
    <w:lvl w:ilvl="0">
      <w:start w:val="1"/>
      <w:numFmt w:val="bullet"/>
      <w:lvlText w:val="•"/>
      <w:lvlJc w:val="left"/>
      <w:pPr>
        <w:tabs>
          <w:tab w:val="num" w:pos="284"/>
        </w:tabs>
        <w:ind w:left="284" w:hanging="284"/>
      </w:pPr>
      <w:rPr>
        <w:rFonts w:ascii="Lexia XBold" w:hAnsi="Lexia XBold" w:hint="default"/>
        <w:color w:val="F25821"/>
        <w:sz w:val="1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75E0"/>
    <w:multiLevelType w:val="hybridMultilevel"/>
    <w:tmpl w:val="D0BEA6E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D4C4930"/>
    <w:multiLevelType w:val="multilevel"/>
    <w:tmpl w:val="89D05198"/>
    <w:lvl w:ilvl="0">
      <w:start w:val="1"/>
      <w:numFmt w:val="bullet"/>
      <w:lvlText w:val="•"/>
      <w:lvlJc w:val="left"/>
      <w:pPr>
        <w:tabs>
          <w:tab w:val="num" w:pos="284"/>
        </w:tabs>
        <w:ind w:left="284" w:hanging="284"/>
      </w:pPr>
      <w:rPr>
        <w:rFonts w:ascii="Lexia XBold" w:hAnsi="Lexia XBold" w:hint="default"/>
        <w:color w:val="ED135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127FF5"/>
    <w:multiLevelType w:val="multilevel"/>
    <w:tmpl w:val="C298F1BA"/>
    <w:lvl w:ilvl="0">
      <w:start w:val="1"/>
      <w:numFmt w:val="bullet"/>
      <w:lvlText w:val="•"/>
      <w:lvlJc w:val="left"/>
      <w:pPr>
        <w:tabs>
          <w:tab w:val="num" w:pos="284"/>
        </w:tabs>
        <w:ind w:left="284" w:hanging="284"/>
      </w:pPr>
      <w:rPr>
        <w:rFonts w:ascii="Lexia XBold" w:hAnsi="Lexia XBold" w:hint="default"/>
        <w:color w:val="ED135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FFD1277"/>
    <w:multiLevelType w:val="multilevel"/>
    <w:tmpl w:val="24A05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E20BD"/>
    <w:multiLevelType w:val="multilevel"/>
    <w:tmpl w:val="087CE2FA"/>
    <w:lvl w:ilvl="0">
      <w:start w:val="1"/>
      <w:numFmt w:val="bullet"/>
      <w:lvlText w:val="•"/>
      <w:lvlJc w:val="left"/>
      <w:pPr>
        <w:tabs>
          <w:tab w:val="num" w:pos="284"/>
        </w:tabs>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27511"/>
    <w:multiLevelType w:val="multilevel"/>
    <w:tmpl w:val="EACAD54A"/>
    <w:lvl w:ilvl="0">
      <w:start w:val="1"/>
      <w:numFmt w:val="bullet"/>
      <w:lvlText w:val="•"/>
      <w:lvlJc w:val="left"/>
      <w:pPr>
        <w:tabs>
          <w:tab w:val="num" w:pos="284"/>
        </w:tabs>
        <w:ind w:left="284" w:hanging="284"/>
      </w:pPr>
      <w:rPr>
        <w:rFonts w:ascii="Lexia XBold" w:hAnsi="Lexia XBold" w:hint="default"/>
        <w:color w:val="ED135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01436627">
    <w:abstractNumId w:val="0"/>
  </w:num>
  <w:num w:numId="2" w16cid:durableId="1601378842">
    <w:abstractNumId w:val="1"/>
  </w:num>
  <w:num w:numId="3" w16cid:durableId="381172424">
    <w:abstractNumId w:val="3"/>
  </w:num>
  <w:num w:numId="4" w16cid:durableId="2067410978">
    <w:abstractNumId w:val="2"/>
  </w:num>
  <w:num w:numId="5" w16cid:durableId="362823191">
    <w:abstractNumId w:val="9"/>
  </w:num>
  <w:num w:numId="6" w16cid:durableId="354162116">
    <w:abstractNumId w:val="4"/>
  </w:num>
  <w:num w:numId="7" w16cid:durableId="1557399683">
    <w:abstractNumId w:val="5"/>
  </w:num>
  <w:num w:numId="8" w16cid:durableId="992562824">
    <w:abstractNumId w:val="7"/>
  </w:num>
  <w:num w:numId="9" w16cid:durableId="736585664">
    <w:abstractNumId w:val="6"/>
  </w:num>
  <w:num w:numId="10" w16cid:durableId="600995955">
    <w:abstractNumId w:val="10"/>
  </w:num>
  <w:num w:numId="11" w16cid:durableId="1245535236">
    <w:abstractNumId w:val="8"/>
  </w:num>
  <w:num w:numId="12" w16cid:durableId="1430931584">
    <w:abstractNumId w:val="34"/>
  </w:num>
  <w:num w:numId="13" w16cid:durableId="1709376404">
    <w:abstractNumId w:val="21"/>
  </w:num>
  <w:num w:numId="14" w16cid:durableId="1125463559">
    <w:abstractNumId w:val="23"/>
  </w:num>
  <w:num w:numId="15" w16cid:durableId="1017390371">
    <w:abstractNumId w:val="41"/>
  </w:num>
  <w:num w:numId="16" w16cid:durableId="95443608">
    <w:abstractNumId w:val="42"/>
  </w:num>
  <w:num w:numId="17" w16cid:durableId="976882443">
    <w:abstractNumId w:val="24"/>
  </w:num>
  <w:num w:numId="18" w16cid:durableId="927427700">
    <w:abstractNumId w:val="17"/>
  </w:num>
  <w:num w:numId="19" w16cid:durableId="1651401338">
    <w:abstractNumId w:val="13"/>
  </w:num>
  <w:num w:numId="20" w16cid:durableId="800269107">
    <w:abstractNumId w:val="26"/>
  </w:num>
  <w:num w:numId="21" w16cid:durableId="1648783090">
    <w:abstractNumId w:val="11"/>
  </w:num>
  <w:num w:numId="22" w16cid:durableId="1946841891">
    <w:abstractNumId w:val="47"/>
  </w:num>
  <w:num w:numId="23" w16cid:durableId="313486624">
    <w:abstractNumId w:val="32"/>
  </w:num>
  <w:num w:numId="24" w16cid:durableId="1611547799">
    <w:abstractNumId w:val="43"/>
  </w:num>
  <w:num w:numId="25" w16cid:durableId="166134452">
    <w:abstractNumId w:val="16"/>
  </w:num>
  <w:num w:numId="26" w16cid:durableId="806624367">
    <w:abstractNumId w:val="44"/>
  </w:num>
  <w:num w:numId="27" w16cid:durableId="686902663">
    <w:abstractNumId w:val="20"/>
  </w:num>
  <w:num w:numId="28" w16cid:durableId="298153034">
    <w:abstractNumId w:val="30"/>
  </w:num>
  <w:num w:numId="29" w16cid:durableId="1815174680">
    <w:abstractNumId w:val="36"/>
  </w:num>
  <w:num w:numId="30" w16cid:durableId="870847318">
    <w:abstractNumId w:val="29"/>
  </w:num>
  <w:num w:numId="31" w16cid:durableId="292711333">
    <w:abstractNumId w:val="37"/>
  </w:num>
  <w:num w:numId="32" w16cid:durableId="1691636314">
    <w:abstractNumId w:val="14"/>
  </w:num>
  <w:num w:numId="33" w16cid:durableId="1573538810">
    <w:abstractNumId w:val="46"/>
  </w:num>
  <w:num w:numId="34" w16cid:durableId="862208789">
    <w:abstractNumId w:val="25"/>
  </w:num>
  <w:num w:numId="35" w16cid:durableId="1539002309">
    <w:abstractNumId w:val="12"/>
  </w:num>
  <w:num w:numId="36" w16cid:durableId="2041392596">
    <w:abstractNumId w:val="45"/>
  </w:num>
  <w:num w:numId="37" w16cid:durableId="537661721">
    <w:abstractNumId w:val="38"/>
  </w:num>
  <w:num w:numId="38" w16cid:durableId="18964332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5152257">
    <w:abstractNumId w:val="27"/>
  </w:num>
  <w:num w:numId="40" w16cid:durableId="143788253">
    <w:abstractNumId w:val="33"/>
  </w:num>
  <w:num w:numId="41" w16cid:durableId="1081637576">
    <w:abstractNumId w:val="22"/>
  </w:num>
  <w:num w:numId="42" w16cid:durableId="1242521308">
    <w:abstractNumId w:val="35"/>
  </w:num>
  <w:num w:numId="43" w16cid:durableId="298271128">
    <w:abstractNumId w:val="15"/>
  </w:num>
  <w:num w:numId="44" w16cid:durableId="2054187842">
    <w:abstractNumId w:val="33"/>
  </w:num>
  <w:num w:numId="45" w16cid:durableId="747767294">
    <w:abstractNumId w:val="22"/>
  </w:num>
  <w:num w:numId="46" w16cid:durableId="1155802634">
    <w:abstractNumId w:val="28"/>
  </w:num>
  <w:num w:numId="47" w16cid:durableId="1182360487">
    <w:abstractNumId w:val="39"/>
  </w:num>
  <w:num w:numId="48" w16cid:durableId="313607234">
    <w:abstractNumId w:val="40"/>
  </w:num>
  <w:num w:numId="49" w16cid:durableId="628433923">
    <w:abstractNumId w:val="31"/>
  </w:num>
  <w:num w:numId="50" w16cid:durableId="12687341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o:colormru v:ext="edit" colors="#bb0f18,#ed1350"/>
    </o:shapedefaults>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4C"/>
    <w:rsid w:val="00000190"/>
    <w:rsid w:val="00055047"/>
    <w:rsid w:val="0005656D"/>
    <w:rsid w:val="0006310B"/>
    <w:rsid w:val="00063517"/>
    <w:rsid w:val="00065129"/>
    <w:rsid w:val="0007475B"/>
    <w:rsid w:val="000812AC"/>
    <w:rsid w:val="00094EB3"/>
    <w:rsid w:val="00097741"/>
    <w:rsid w:val="000C720B"/>
    <w:rsid w:val="000F67AE"/>
    <w:rsid w:val="00112D01"/>
    <w:rsid w:val="00112F1C"/>
    <w:rsid w:val="00170391"/>
    <w:rsid w:val="001A3DD6"/>
    <w:rsid w:val="001A78A1"/>
    <w:rsid w:val="001E23FF"/>
    <w:rsid w:val="001E47B8"/>
    <w:rsid w:val="001F22EB"/>
    <w:rsid w:val="00211493"/>
    <w:rsid w:val="00216298"/>
    <w:rsid w:val="00233C0F"/>
    <w:rsid w:val="00234C07"/>
    <w:rsid w:val="00242D10"/>
    <w:rsid w:val="00253CAF"/>
    <w:rsid w:val="0026395B"/>
    <w:rsid w:val="00267948"/>
    <w:rsid w:val="00286F2D"/>
    <w:rsid w:val="00291F53"/>
    <w:rsid w:val="002E787E"/>
    <w:rsid w:val="00302673"/>
    <w:rsid w:val="003117C7"/>
    <w:rsid w:val="00377A70"/>
    <w:rsid w:val="003827B3"/>
    <w:rsid w:val="003C0230"/>
    <w:rsid w:val="003D06DE"/>
    <w:rsid w:val="003F240E"/>
    <w:rsid w:val="004050E7"/>
    <w:rsid w:val="004214D0"/>
    <w:rsid w:val="0042729B"/>
    <w:rsid w:val="00430077"/>
    <w:rsid w:val="004307F8"/>
    <w:rsid w:val="00442D73"/>
    <w:rsid w:val="00467936"/>
    <w:rsid w:val="004A29BB"/>
    <w:rsid w:val="004B6CB4"/>
    <w:rsid w:val="004F2BEF"/>
    <w:rsid w:val="00503A4C"/>
    <w:rsid w:val="00570B99"/>
    <w:rsid w:val="005914BD"/>
    <w:rsid w:val="005A25B9"/>
    <w:rsid w:val="005A346B"/>
    <w:rsid w:val="005B2D21"/>
    <w:rsid w:val="005B5748"/>
    <w:rsid w:val="005D3F3B"/>
    <w:rsid w:val="005E5931"/>
    <w:rsid w:val="005E7D94"/>
    <w:rsid w:val="005F674E"/>
    <w:rsid w:val="00605257"/>
    <w:rsid w:val="00605D74"/>
    <w:rsid w:val="00607F5A"/>
    <w:rsid w:val="00615F7E"/>
    <w:rsid w:val="006253CB"/>
    <w:rsid w:val="00647350"/>
    <w:rsid w:val="00652666"/>
    <w:rsid w:val="006779E9"/>
    <w:rsid w:val="00690C58"/>
    <w:rsid w:val="0069575A"/>
    <w:rsid w:val="006A1A24"/>
    <w:rsid w:val="006B0445"/>
    <w:rsid w:val="006B1C85"/>
    <w:rsid w:val="006B2675"/>
    <w:rsid w:val="006C4EE1"/>
    <w:rsid w:val="006D3C36"/>
    <w:rsid w:val="00701E2B"/>
    <w:rsid w:val="00702B33"/>
    <w:rsid w:val="007101F7"/>
    <w:rsid w:val="00716C5A"/>
    <w:rsid w:val="007241C7"/>
    <w:rsid w:val="0076394C"/>
    <w:rsid w:val="007645DA"/>
    <w:rsid w:val="00781704"/>
    <w:rsid w:val="00782E27"/>
    <w:rsid w:val="00784602"/>
    <w:rsid w:val="00793B54"/>
    <w:rsid w:val="007B04FF"/>
    <w:rsid w:val="007D49E4"/>
    <w:rsid w:val="007E5719"/>
    <w:rsid w:val="007E5CCC"/>
    <w:rsid w:val="007E6986"/>
    <w:rsid w:val="007F288B"/>
    <w:rsid w:val="00824369"/>
    <w:rsid w:val="008328FC"/>
    <w:rsid w:val="008476A0"/>
    <w:rsid w:val="00847CF3"/>
    <w:rsid w:val="008560B1"/>
    <w:rsid w:val="008A2BE0"/>
    <w:rsid w:val="008A7456"/>
    <w:rsid w:val="008D5C6D"/>
    <w:rsid w:val="00915C0B"/>
    <w:rsid w:val="00936606"/>
    <w:rsid w:val="009422FE"/>
    <w:rsid w:val="00952252"/>
    <w:rsid w:val="00973BE6"/>
    <w:rsid w:val="00977032"/>
    <w:rsid w:val="009A3233"/>
    <w:rsid w:val="009A5E0D"/>
    <w:rsid w:val="009B1261"/>
    <w:rsid w:val="009C3AC9"/>
    <w:rsid w:val="00A018CC"/>
    <w:rsid w:val="00A15B48"/>
    <w:rsid w:val="00A17C24"/>
    <w:rsid w:val="00A26663"/>
    <w:rsid w:val="00A46E0F"/>
    <w:rsid w:val="00A54935"/>
    <w:rsid w:val="00A62D19"/>
    <w:rsid w:val="00A647FE"/>
    <w:rsid w:val="00A86DFD"/>
    <w:rsid w:val="00A8727B"/>
    <w:rsid w:val="00A9389B"/>
    <w:rsid w:val="00AB5D14"/>
    <w:rsid w:val="00AC389F"/>
    <w:rsid w:val="00AE656C"/>
    <w:rsid w:val="00AF3090"/>
    <w:rsid w:val="00B056E5"/>
    <w:rsid w:val="00B44D2B"/>
    <w:rsid w:val="00B5654D"/>
    <w:rsid w:val="00B6255B"/>
    <w:rsid w:val="00B6513A"/>
    <w:rsid w:val="00B95ED3"/>
    <w:rsid w:val="00B9616A"/>
    <w:rsid w:val="00BD0F93"/>
    <w:rsid w:val="00BD37F4"/>
    <w:rsid w:val="00BD7D15"/>
    <w:rsid w:val="00BE1DC2"/>
    <w:rsid w:val="00BE5F4F"/>
    <w:rsid w:val="00BF4FA0"/>
    <w:rsid w:val="00C011CB"/>
    <w:rsid w:val="00C13C3A"/>
    <w:rsid w:val="00C345AF"/>
    <w:rsid w:val="00C73350"/>
    <w:rsid w:val="00C73CF4"/>
    <w:rsid w:val="00C74990"/>
    <w:rsid w:val="00C8406A"/>
    <w:rsid w:val="00CB4959"/>
    <w:rsid w:val="00D11CFA"/>
    <w:rsid w:val="00D26954"/>
    <w:rsid w:val="00D35463"/>
    <w:rsid w:val="00D37BD1"/>
    <w:rsid w:val="00D46EBC"/>
    <w:rsid w:val="00D47217"/>
    <w:rsid w:val="00D52704"/>
    <w:rsid w:val="00D57330"/>
    <w:rsid w:val="00D62989"/>
    <w:rsid w:val="00D9192F"/>
    <w:rsid w:val="00DA75E4"/>
    <w:rsid w:val="00DB3A5B"/>
    <w:rsid w:val="00DB7CA1"/>
    <w:rsid w:val="00DC3EFD"/>
    <w:rsid w:val="00DC6E36"/>
    <w:rsid w:val="00DD77FB"/>
    <w:rsid w:val="00DE692F"/>
    <w:rsid w:val="00E11173"/>
    <w:rsid w:val="00E23C73"/>
    <w:rsid w:val="00E24E02"/>
    <w:rsid w:val="00E4072C"/>
    <w:rsid w:val="00E61C3F"/>
    <w:rsid w:val="00EA3A54"/>
    <w:rsid w:val="00EB3A5A"/>
    <w:rsid w:val="00EC20F9"/>
    <w:rsid w:val="00EE59FF"/>
    <w:rsid w:val="00EF3F37"/>
    <w:rsid w:val="00EF7165"/>
    <w:rsid w:val="00F1050B"/>
    <w:rsid w:val="00F142E4"/>
    <w:rsid w:val="00F27649"/>
    <w:rsid w:val="00F35BF7"/>
    <w:rsid w:val="00F452AC"/>
    <w:rsid w:val="00F576F2"/>
    <w:rsid w:val="00F73742"/>
    <w:rsid w:val="00F80FA4"/>
    <w:rsid w:val="00F978ED"/>
    <w:rsid w:val="00FB57F0"/>
    <w:rsid w:val="00FC6AFD"/>
    <w:rsid w:val="00FC7524"/>
    <w:rsid w:val="57083E10"/>
    <w:rsid w:val="7D44226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bb0f18,#ed1350"/>
    </o:shapedefaults>
    <o:shapelayout v:ext="edit">
      <o:idmap v:ext="edit" data="2"/>
    </o:shapelayout>
  </w:shapeDefaults>
  <w:doNotEmbedSmartTags/>
  <w:decimalSymbol w:val="."/>
  <w:listSeparator w:val=","/>
  <w14:docId w14:val="3548BA58"/>
  <w14:defaultImageDpi w14:val="300"/>
  <w15:docId w15:val="{ABD4539A-46E1-4AC6-95ED-F2D8F96E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heading 2"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52666"/>
    <w:pPr>
      <w:spacing w:after="120"/>
    </w:pPr>
    <w:rPr>
      <w:rFonts w:ascii="Verdana" w:hAnsi="Verdana"/>
      <w:szCs w:val="24"/>
    </w:rPr>
  </w:style>
  <w:style w:type="paragraph" w:styleId="Heading1">
    <w:name w:val="heading 1"/>
    <w:basedOn w:val="Normal"/>
    <w:next w:val="Normal"/>
    <w:qFormat/>
    <w:rsid w:val="00605D74"/>
    <w:pPr>
      <w:keepNext/>
      <w:spacing w:before="60"/>
      <w:outlineLvl w:val="0"/>
    </w:pPr>
    <w:rPr>
      <w:b/>
      <w:color w:val="F15720" w:themeColor="accent3"/>
      <w:kern w:val="32"/>
      <w:sz w:val="32"/>
      <w:szCs w:val="32"/>
    </w:rPr>
  </w:style>
  <w:style w:type="paragraph" w:styleId="Heading2">
    <w:name w:val="heading 2"/>
    <w:basedOn w:val="Normal"/>
    <w:next w:val="Normal"/>
    <w:link w:val="Heading2Char"/>
    <w:qFormat/>
    <w:rsid w:val="005B5748"/>
    <w:pPr>
      <w:keepNext/>
      <w:spacing w:before="80" w:after="60"/>
      <w:outlineLvl w:val="1"/>
    </w:pPr>
    <w:rPr>
      <w:b/>
      <w:color w:val="C9231E" w:themeColor="accent2"/>
      <w:sz w:val="24"/>
      <w:szCs w:val="28"/>
    </w:rPr>
  </w:style>
  <w:style w:type="paragraph" w:styleId="Heading3">
    <w:name w:val="heading 3"/>
    <w:basedOn w:val="Normal"/>
    <w:next w:val="Normal"/>
    <w:qFormat/>
    <w:rsid w:val="00605D74"/>
    <w:pPr>
      <w:keepNext/>
      <w:spacing w:before="80" w:after="60"/>
      <w:outlineLvl w:val="2"/>
    </w:pPr>
    <w:rPr>
      <w:b/>
      <w:color w:val="F15720" w:themeColor="accent3"/>
      <w:szCs w:val="26"/>
    </w:rPr>
  </w:style>
  <w:style w:type="paragraph" w:styleId="Heading4">
    <w:name w:val="heading 4"/>
    <w:basedOn w:val="Heading3"/>
    <w:next w:val="Normal"/>
    <w:link w:val="Heading4Char"/>
    <w:qFormat/>
    <w:rsid w:val="005D3F3B"/>
    <w:pPr>
      <w:keepLines/>
      <w:outlineLvl w:val="3"/>
    </w:pPr>
    <w:rPr>
      <w:rFonts w:asciiTheme="majorHAnsi" w:eastAsiaTheme="majorEastAsia" w:hAnsiTheme="majorHAnsi" w:cstheme="majorBidi"/>
      <w:bCs/>
      <w:iCs/>
      <w:color w:val="auto"/>
    </w:rPr>
  </w:style>
  <w:style w:type="paragraph" w:styleId="Heading6">
    <w:name w:val="heading 6"/>
    <w:basedOn w:val="Normal"/>
    <w:next w:val="Normal"/>
    <w:link w:val="Heading6Char"/>
    <w:unhideWhenUsed/>
    <w:rsid w:val="004A29BB"/>
    <w:pPr>
      <w:keepNext/>
      <w:keepLines/>
      <w:spacing w:before="40" w:after="80"/>
      <w:outlineLvl w:val="5"/>
    </w:pPr>
    <w:rPr>
      <w:rFonts w:asciiTheme="majorHAnsi" w:eastAsiaTheme="majorEastAsia" w:hAnsiTheme="majorHAnsi" w:cstheme="majorBidi"/>
      <w:b/>
      <w:i/>
      <w:color w:val="8A7C66" w:themeColor="text2"/>
    </w:rPr>
  </w:style>
  <w:style w:type="paragraph" w:styleId="Heading7">
    <w:name w:val="heading 7"/>
    <w:basedOn w:val="Normal"/>
    <w:next w:val="Normal"/>
    <w:link w:val="Heading7Char"/>
    <w:semiHidden/>
    <w:unhideWhenUsed/>
    <w:rsid w:val="00286F2D"/>
    <w:pPr>
      <w:keepNext/>
      <w:keepLines/>
      <w:spacing w:before="40" w:after="0"/>
      <w:outlineLvl w:val="6"/>
    </w:pPr>
    <w:rPr>
      <w:rFonts w:asciiTheme="majorHAnsi" w:eastAsiaTheme="majorEastAsia" w:hAnsiTheme="majorHAnsi" w:cstheme="majorBidi"/>
      <w:i/>
      <w:iCs/>
      <w:color w:val="F3306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D3F3B"/>
    <w:rPr>
      <w:rFonts w:asciiTheme="majorHAnsi" w:eastAsiaTheme="majorEastAsia" w:hAnsiTheme="majorHAnsi" w:cstheme="majorBidi"/>
      <w:b/>
      <w:bCs/>
      <w:iCs/>
      <w:sz w:val="21"/>
      <w:szCs w:val="26"/>
    </w:rPr>
  </w:style>
  <w:style w:type="paragraph" w:styleId="Header">
    <w:name w:val="header"/>
    <w:rsid w:val="00D11CFA"/>
    <w:pPr>
      <w:tabs>
        <w:tab w:val="right" w:pos="8278"/>
      </w:tabs>
    </w:pPr>
    <w:rPr>
      <w:rFonts w:ascii="Verdana" w:hAnsi="Verdana"/>
      <w:b/>
      <w:color w:val="8A7C66" w:themeColor="text2"/>
      <w:sz w:val="16"/>
      <w:szCs w:val="24"/>
    </w:rPr>
  </w:style>
  <w:style w:type="paragraph" w:styleId="Footer">
    <w:name w:val="footer"/>
    <w:basedOn w:val="Normal"/>
    <w:semiHidden/>
    <w:rsid w:val="00DB079C"/>
    <w:pPr>
      <w:tabs>
        <w:tab w:val="center" w:pos="4320"/>
        <w:tab w:val="right" w:pos="8640"/>
      </w:tabs>
    </w:pPr>
  </w:style>
  <w:style w:type="character" w:styleId="PageNumber">
    <w:name w:val="page number"/>
    <w:basedOn w:val="DefaultParagraphFont"/>
    <w:rsid w:val="00CB5C23"/>
    <w:rPr>
      <w:rFonts w:ascii="Verdana" w:hAnsi="Verdana"/>
      <w:b/>
      <w:color w:val="BB0F18"/>
      <w:sz w:val="16"/>
    </w:rPr>
  </w:style>
  <w:style w:type="paragraph" w:styleId="ListBullet">
    <w:name w:val="List Bullet"/>
    <w:basedOn w:val="Normal"/>
    <w:qFormat/>
    <w:rsid w:val="00E23C73"/>
    <w:pPr>
      <w:numPr>
        <w:numId w:val="12"/>
      </w:numPr>
    </w:pPr>
  </w:style>
  <w:style w:type="paragraph" w:styleId="FootnoteText">
    <w:name w:val="footnote text"/>
    <w:basedOn w:val="Normal"/>
    <w:link w:val="FootnoteTextChar"/>
    <w:qFormat/>
    <w:rsid w:val="00C13C3A"/>
    <w:rPr>
      <w:sz w:val="14"/>
    </w:rPr>
  </w:style>
  <w:style w:type="character" w:customStyle="1" w:styleId="FootnoteTextChar">
    <w:name w:val="Footnote Text Char"/>
    <w:basedOn w:val="DefaultParagraphFont"/>
    <w:link w:val="FootnoteText"/>
    <w:rsid w:val="00C13C3A"/>
    <w:rPr>
      <w:rFonts w:ascii="Verdana" w:hAnsi="Verdana"/>
      <w:sz w:val="14"/>
      <w:szCs w:val="24"/>
    </w:rPr>
  </w:style>
  <w:style w:type="paragraph" w:styleId="Caption">
    <w:name w:val="caption"/>
    <w:basedOn w:val="Normal"/>
    <w:next w:val="Normal"/>
    <w:qFormat/>
    <w:rsid w:val="00C13C3A"/>
    <w:pPr>
      <w:spacing w:after="60"/>
    </w:pPr>
    <w:rPr>
      <w:b/>
      <w:bCs/>
      <w:i/>
      <w:color w:val="8A7C66" w:themeColor="text2"/>
      <w:szCs w:val="20"/>
    </w:rPr>
  </w:style>
  <w:style w:type="paragraph" w:customStyle="1" w:styleId="Quotelarge">
    <w:name w:val="Quote large"/>
    <w:basedOn w:val="Quote"/>
    <w:next w:val="Quotecredit"/>
    <w:qFormat/>
    <w:rsid w:val="00BD0F93"/>
    <w:rPr>
      <w:sz w:val="28"/>
    </w:rPr>
  </w:style>
  <w:style w:type="paragraph" w:styleId="Quote">
    <w:name w:val="Quote"/>
    <w:basedOn w:val="Normal"/>
    <w:next w:val="Quotecredit"/>
    <w:link w:val="QuoteChar"/>
    <w:qFormat/>
    <w:rsid w:val="00BD0F93"/>
    <w:pPr>
      <w:spacing w:after="60"/>
    </w:pPr>
    <w:rPr>
      <w:i/>
      <w:iCs/>
      <w:color w:val="C9231E" w:themeColor="accent2"/>
    </w:rPr>
  </w:style>
  <w:style w:type="character" w:customStyle="1" w:styleId="QuoteChar">
    <w:name w:val="Quote Char"/>
    <w:basedOn w:val="DefaultParagraphFont"/>
    <w:link w:val="Quote"/>
    <w:rsid w:val="00BD0F93"/>
    <w:rPr>
      <w:rFonts w:ascii="Verdana" w:hAnsi="Verdana"/>
      <w:i/>
      <w:iCs/>
      <w:color w:val="C9231E" w:themeColor="accent2"/>
      <w:szCs w:val="24"/>
    </w:rPr>
  </w:style>
  <w:style w:type="paragraph" w:customStyle="1" w:styleId="Quotecredit">
    <w:name w:val="Quote credit"/>
    <w:basedOn w:val="Quote"/>
    <w:next w:val="Normal"/>
    <w:qFormat/>
    <w:rsid w:val="00BD0F93"/>
    <w:rPr>
      <w:i w:val="0"/>
    </w:rPr>
  </w:style>
  <w:style w:type="table" w:styleId="TableGrid">
    <w:name w:val="Table Grid"/>
    <w:basedOn w:val="TableNormal"/>
    <w:rsid w:val="00CB6D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A62D19"/>
    <w:rPr>
      <w:sz w:val="16"/>
    </w:rPr>
  </w:style>
  <w:style w:type="character" w:customStyle="1" w:styleId="EndnoteTextChar">
    <w:name w:val="Endnote Text Char"/>
    <w:basedOn w:val="DefaultParagraphFont"/>
    <w:link w:val="EndnoteText"/>
    <w:rsid w:val="00A62D19"/>
    <w:rPr>
      <w:rFonts w:ascii="Verdana" w:hAnsi="Verdana"/>
      <w:sz w:val="16"/>
      <w:szCs w:val="24"/>
    </w:rPr>
  </w:style>
  <w:style w:type="character" w:styleId="Hyperlink">
    <w:name w:val="Hyperlink"/>
    <w:basedOn w:val="DefaultParagraphFont"/>
    <w:uiPriority w:val="99"/>
    <w:rsid w:val="00DB079C"/>
    <w:rPr>
      <w:color w:val="auto"/>
      <w:u w:val="none"/>
    </w:rPr>
  </w:style>
  <w:style w:type="character" w:styleId="FollowedHyperlink">
    <w:name w:val="FollowedHyperlink"/>
    <w:basedOn w:val="DefaultParagraphFont"/>
    <w:rsid w:val="00DB079C"/>
    <w:rPr>
      <w:color w:val="auto"/>
      <w:u w:val="none"/>
    </w:rPr>
  </w:style>
  <w:style w:type="paragraph" w:styleId="ListNumber">
    <w:name w:val="List Number"/>
    <w:basedOn w:val="Normal"/>
    <w:qFormat/>
    <w:rsid w:val="00234C07"/>
    <w:pPr>
      <w:numPr>
        <w:numId w:val="5"/>
      </w:numPr>
    </w:pPr>
  </w:style>
  <w:style w:type="paragraph" w:styleId="Subtitle">
    <w:name w:val="Subtitle"/>
    <w:basedOn w:val="Normal"/>
    <w:next w:val="Normal"/>
    <w:link w:val="SubtitleChar"/>
    <w:rsid w:val="00A647FE"/>
    <w:pPr>
      <w:numPr>
        <w:ilvl w:val="1"/>
      </w:numPr>
    </w:pPr>
    <w:rPr>
      <w:rFonts w:asciiTheme="majorHAnsi" w:eastAsiaTheme="majorEastAsia" w:hAnsiTheme="majorHAnsi" w:cstheme="majorBidi"/>
      <w:i/>
      <w:iCs/>
      <w:color w:val="F33062" w:themeColor="accent1"/>
      <w:spacing w:val="15"/>
      <w:sz w:val="32"/>
    </w:rPr>
  </w:style>
  <w:style w:type="character" w:customStyle="1" w:styleId="SubtitleChar">
    <w:name w:val="Subtitle Char"/>
    <w:basedOn w:val="DefaultParagraphFont"/>
    <w:link w:val="Subtitle"/>
    <w:rsid w:val="00A647FE"/>
    <w:rPr>
      <w:rFonts w:asciiTheme="majorHAnsi" w:eastAsiaTheme="majorEastAsia" w:hAnsiTheme="majorHAnsi" w:cstheme="majorBidi"/>
      <w:i/>
      <w:iCs/>
      <w:color w:val="F33062" w:themeColor="accent1"/>
      <w:spacing w:val="15"/>
      <w:sz w:val="32"/>
      <w:szCs w:val="24"/>
    </w:rPr>
  </w:style>
  <w:style w:type="paragraph" w:styleId="Title">
    <w:name w:val="Title"/>
    <w:basedOn w:val="Normal"/>
    <w:next w:val="Normal"/>
    <w:link w:val="TitleChar"/>
    <w:rsid w:val="00A54935"/>
    <w:pPr>
      <w:contextualSpacing/>
    </w:pPr>
    <w:rPr>
      <w:rFonts w:asciiTheme="majorHAnsi" w:eastAsiaTheme="majorEastAsia" w:hAnsiTheme="majorHAnsi" w:cstheme="majorBidi"/>
      <w:color w:val="F33062" w:themeColor="accent1"/>
      <w:spacing w:val="5"/>
      <w:kern w:val="28"/>
      <w:sz w:val="56"/>
      <w:szCs w:val="52"/>
    </w:rPr>
  </w:style>
  <w:style w:type="character" w:customStyle="1" w:styleId="TitleChar">
    <w:name w:val="Title Char"/>
    <w:basedOn w:val="DefaultParagraphFont"/>
    <w:link w:val="Title"/>
    <w:rsid w:val="00A54935"/>
    <w:rPr>
      <w:rFonts w:asciiTheme="majorHAnsi" w:eastAsiaTheme="majorEastAsia" w:hAnsiTheme="majorHAnsi" w:cstheme="majorBidi"/>
      <w:color w:val="F33062" w:themeColor="accent1"/>
      <w:spacing w:val="5"/>
      <w:kern w:val="28"/>
      <w:sz w:val="56"/>
      <w:szCs w:val="52"/>
    </w:rPr>
  </w:style>
  <w:style w:type="character" w:customStyle="1" w:styleId="Heading7Char">
    <w:name w:val="Heading 7 Char"/>
    <w:basedOn w:val="DefaultParagraphFont"/>
    <w:link w:val="Heading7"/>
    <w:semiHidden/>
    <w:rsid w:val="00286F2D"/>
    <w:rPr>
      <w:rFonts w:asciiTheme="majorHAnsi" w:eastAsiaTheme="majorEastAsia" w:hAnsiTheme="majorHAnsi" w:cstheme="majorBidi"/>
      <w:i/>
      <w:iCs/>
      <w:color w:val="F33062" w:themeColor="accent1"/>
      <w:szCs w:val="24"/>
    </w:rPr>
  </w:style>
  <w:style w:type="table" w:styleId="ColorfulGrid-Accent2">
    <w:name w:val="Colorful Grid Accent 2"/>
    <w:basedOn w:val="TableNormal"/>
    <w:rsid w:val="000F67AE"/>
    <w:rPr>
      <w:color w:val="000000" w:themeColor="text1"/>
    </w:rPr>
    <w:tblPr>
      <w:tblStyleRowBandSize w:val="1"/>
      <w:tblStyleColBandSize w:val="1"/>
      <w:tblBorders>
        <w:insideH w:val="single" w:sz="4" w:space="0" w:color="FFFFFF" w:themeColor="background1"/>
      </w:tblBorders>
    </w:tblPr>
    <w:tcPr>
      <w:shd w:val="clear" w:color="auto" w:fill="F1EFEC" w:themeFill="background2"/>
      <w:tcMar>
        <w:bottom w:w="68" w:type="dxa"/>
      </w:tcMar>
    </w:tcPr>
    <w:tblStylePr w:type="firstRow">
      <w:rPr>
        <w:b w:val="0"/>
        <w:bCs/>
        <w:color w:val="auto"/>
      </w:rPr>
      <w:tblPr/>
      <w:tcPr>
        <w:shd w:val="clear" w:color="auto" w:fill="C9231E" w:themeFill="accent2"/>
      </w:tcPr>
    </w:tblStylePr>
    <w:tblStylePr w:type="lastRow">
      <w:rPr>
        <w:b/>
        <w:bCs/>
        <w:color w:val="000000" w:themeColor="text1"/>
      </w:rPr>
      <w:tblPr/>
      <w:tcPr>
        <w:shd w:val="clear" w:color="auto" w:fill="C9231E" w:themeFill="accent2"/>
      </w:tcPr>
    </w:tblStylePr>
    <w:tblStylePr w:type="firstCol">
      <w:rPr>
        <w:color w:val="FFFFFF" w:themeColor="background1"/>
      </w:rPr>
      <w:tblPr/>
      <w:tcPr>
        <w:shd w:val="clear" w:color="auto" w:fill="C9231E" w:themeFill="accent2"/>
      </w:tcPr>
    </w:tblStylePr>
    <w:tblStylePr w:type="lastCol">
      <w:rPr>
        <w:color w:val="FFFFFF" w:themeColor="background1"/>
      </w:rPr>
      <w:tblPr/>
      <w:tcPr>
        <w:shd w:val="clear" w:color="auto" w:fill="C9231E" w:themeFill="accent2"/>
      </w:tcPr>
    </w:tblStylePr>
    <w:tblStylePr w:type="band2Horz">
      <w:tblPr/>
      <w:tcPr>
        <w:shd w:val="clear" w:color="auto" w:fill="DDD8D0" w:themeFill="background2" w:themeFillShade="E6"/>
      </w:tcPr>
    </w:tblStylePr>
    <w:tblStylePr w:type="nwCell">
      <w:tblPr/>
      <w:tcPr>
        <w:shd w:val="clear" w:color="auto" w:fill="F1EFEC" w:themeFill="background2"/>
      </w:tcPr>
    </w:tblStylePr>
  </w:style>
  <w:style w:type="table" w:styleId="ColorfulGrid-Accent3">
    <w:name w:val="Colorful Grid Accent 3"/>
    <w:basedOn w:val="TableNormal"/>
    <w:rsid w:val="001F22EB"/>
    <w:rPr>
      <w:color w:val="8A7C66" w:themeColor="text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1EFEC" w:themeFill="background2"/>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9231E" w:themeFill="accent2"/>
      </w:tcPr>
    </w:tblStylePr>
    <w:tblStylePr w:type="la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15720" w:themeFill="accent3"/>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EB4A6" w:themeFill="background2" w:themeFillShade="BF"/>
      </w:tcPr>
    </w:tblStylePr>
    <w:tblStylePr w:type="lastCol">
      <w:rPr>
        <w:color w:val="FFFFFF" w:themeColor="background1"/>
      </w:rPr>
      <w:tblPr/>
      <w:tcPr>
        <w:tcBorders>
          <w:top w:val="nil"/>
          <w:left w:val="nil"/>
          <w:bottom w:val="nil"/>
          <w:right w:val="nil"/>
          <w:insideH w:val="nil"/>
          <w:insideV w:val="nil"/>
        </w:tcBorders>
        <w:shd w:val="clear" w:color="auto" w:fill="F15720" w:themeFill="accent3"/>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1EFEC"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1EFEC"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1EFEC"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1EFEC" w:themeFill="background2"/>
      </w:tcPr>
    </w:tblStylePr>
  </w:style>
  <w:style w:type="paragraph" w:customStyle="1" w:styleId="CreditSourceSmalltext">
    <w:name w:val="Credit / Source / Small text"/>
    <w:basedOn w:val="Normal"/>
    <w:qFormat/>
    <w:rsid w:val="00915C0B"/>
    <w:pPr>
      <w:spacing w:after="60"/>
    </w:pPr>
    <w:rPr>
      <w:sz w:val="16"/>
    </w:rPr>
  </w:style>
  <w:style w:type="character" w:customStyle="1" w:styleId="Heading2Char">
    <w:name w:val="Heading 2 Char"/>
    <w:basedOn w:val="DefaultParagraphFont"/>
    <w:link w:val="Heading2"/>
    <w:rsid w:val="005B5748"/>
    <w:rPr>
      <w:rFonts w:ascii="Verdana" w:hAnsi="Verdana"/>
      <w:b/>
      <w:color w:val="C9231E" w:themeColor="accent2"/>
      <w:sz w:val="24"/>
      <w:szCs w:val="28"/>
    </w:rPr>
  </w:style>
  <w:style w:type="paragraph" w:styleId="ListParagraph">
    <w:name w:val="List Paragraph"/>
    <w:basedOn w:val="Normal"/>
    <w:uiPriority w:val="34"/>
    <w:qFormat/>
    <w:rsid w:val="00D35463"/>
    <w:pPr>
      <w:ind w:left="720"/>
      <w:contextualSpacing/>
    </w:pPr>
  </w:style>
  <w:style w:type="table" w:styleId="PlainTable3">
    <w:name w:val="Plain Table 3"/>
    <w:basedOn w:val="TableNormal"/>
    <w:uiPriority w:val="43"/>
    <w:rsid w:val="009422FE"/>
    <w:tblPr>
      <w:tblStyleRowBandSize w:val="1"/>
      <w:tblStyleColBandSize w:val="1"/>
      <w:tblCellMar>
        <w:top w:w="57" w:type="dxa"/>
        <w:left w:w="57" w:type="dxa"/>
        <w:bottom w:w="57" w:type="dxa"/>
        <w:right w:w="57" w:type="dxa"/>
      </w:tblCellMar>
    </w:tblPr>
    <w:tblStylePr w:type="firstRow">
      <w:rPr>
        <w:b/>
        <w:bCs/>
        <w:caps w:val="0"/>
        <w:color w:val="F33062" w:themeColor="accent1"/>
      </w:rPr>
      <w:tblPr/>
      <w:tcPr>
        <w:tcBorders>
          <w:bottom w:val="nil"/>
        </w:tcBorders>
      </w:tcPr>
    </w:tblStylePr>
    <w:tblStylePr w:type="lastRow">
      <w:rPr>
        <w:b/>
        <w:bCs/>
        <w:caps w:val="0"/>
        <w:color w:val="F15720" w:themeColor="accent3"/>
      </w:rPr>
      <w:tblPr/>
      <w:tcPr>
        <w:tcBorders>
          <w:top w:val="nil"/>
        </w:tcBorders>
      </w:tcPr>
    </w:tblStylePr>
    <w:tblStylePr w:type="firstCol">
      <w:rPr>
        <w:b/>
        <w:bCs/>
        <w:caps w:val="0"/>
        <w:color w:val="auto"/>
      </w:rPr>
      <w:tblPr/>
      <w:tcPr>
        <w:tcBorders>
          <w:right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ECEAE6" w:themeFill="accent4" w:themeFillTint="33"/>
      </w:tcPr>
    </w:tblStylePr>
    <w:tblStylePr w:type="band2Horz">
      <w:tblPr/>
      <w:tcPr>
        <w:tcBorders>
          <w:top w:val="nil"/>
          <w:left w:val="nil"/>
          <w:bottom w:val="nil"/>
          <w:right w:val="nil"/>
          <w:insideH w:val="nil"/>
          <w:insideV w:val="nil"/>
          <w:tl2br w:val="nil"/>
          <w:tr2bl w:val="nil"/>
        </w:tcBorders>
        <w:shd w:val="clear" w:color="auto" w:fill="DAD5CD" w:themeFill="accent4" w:themeFillTint="66"/>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rsid w:val="004A29BB"/>
    <w:rPr>
      <w:rFonts w:asciiTheme="majorHAnsi" w:eastAsiaTheme="majorEastAsia" w:hAnsiTheme="majorHAnsi" w:cstheme="majorBidi"/>
      <w:b/>
      <w:i/>
      <w:color w:val="8A7C66" w:themeColor="text2"/>
      <w:szCs w:val="24"/>
    </w:rPr>
  </w:style>
  <w:style w:type="paragraph" w:customStyle="1" w:styleId="Introduction">
    <w:name w:val="Introduction"/>
    <w:basedOn w:val="Normal"/>
    <w:qFormat/>
    <w:rsid w:val="008476A0"/>
    <w:rPr>
      <w:b/>
    </w:rPr>
  </w:style>
  <w:style w:type="character" w:styleId="EndnoteReference">
    <w:name w:val="endnote reference"/>
    <w:basedOn w:val="DefaultParagraphFont"/>
    <w:unhideWhenUsed/>
    <w:rsid w:val="003117C7"/>
    <w:rPr>
      <w:vertAlign w:val="superscript"/>
    </w:rPr>
  </w:style>
  <w:style w:type="paragraph" w:styleId="NormalWeb">
    <w:name w:val="Normal (Web)"/>
    <w:basedOn w:val="Normal"/>
    <w:uiPriority w:val="99"/>
    <w:unhideWhenUsed/>
    <w:rsid w:val="0005656D"/>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05656D"/>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05656D"/>
  </w:style>
  <w:style w:type="character" w:customStyle="1" w:styleId="eop">
    <w:name w:val="eop"/>
    <w:basedOn w:val="DefaultParagraphFont"/>
    <w:rsid w:val="0005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5096">
      <w:bodyDiv w:val="1"/>
      <w:marLeft w:val="0"/>
      <w:marRight w:val="0"/>
      <w:marTop w:val="0"/>
      <w:marBottom w:val="0"/>
      <w:divBdr>
        <w:top w:val="none" w:sz="0" w:space="0" w:color="auto"/>
        <w:left w:val="none" w:sz="0" w:space="0" w:color="auto"/>
        <w:bottom w:val="none" w:sz="0" w:space="0" w:color="auto"/>
        <w:right w:val="none" w:sz="0" w:space="0" w:color="auto"/>
      </w:divBdr>
    </w:div>
    <w:div w:id="325282018">
      <w:bodyDiv w:val="1"/>
      <w:marLeft w:val="0"/>
      <w:marRight w:val="0"/>
      <w:marTop w:val="0"/>
      <w:marBottom w:val="0"/>
      <w:divBdr>
        <w:top w:val="none" w:sz="0" w:space="0" w:color="auto"/>
        <w:left w:val="none" w:sz="0" w:space="0" w:color="auto"/>
        <w:bottom w:val="none" w:sz="0" w:space="0" w:color="auto"/>
        <w:right w:val="none" w:sz="0" w:space="0" w:color="auto"/>
      </w:divBdr>
      <w:divsChild>
        <w:div w:id="1876455023">
          <w:marLeft w:val="0"/>
          <w:marRight w:val="0"/>
          <w:marTop w:val="0"/>
          <w:marBottom w:val="0"/>
          <w:divBdr>
            <w:top w:val="none" w:sz="0" w:space="0" w:color="auto"/>
            <w:left w:val="none" w:sz="0" w:space="0" w:color="auto"/>
            <w:bottom w:val="none" w:sz="0" w:space="0" w:color="auto"/>
            <w:right w:val="none" w:sz="0" w:space="0" w:color="auto"/>
          </w:divBdr>
        </w:div>
        <w:div w:id="861624617">
          <w:marLeft w:val="0"/>
          <w:marRight w:val="0"/>
          <w:marTop w:val="0"/>
          <w:marBottom w:val="0"/>
          <w:divBdr>
            <w:top w:val="none" w:sz="0" w:space="0" w:color="auto"/>
            <w:left w:val="none" w:sz="0" w:space="0" w:color="auto"/>
            <w:bottom w:val="none" w:sz="0" w:space="0" w:color="auto"/>
            <w:right w:val="none" w:sz="0" w:space="0" w:color="auto"/>
          </w:divBdr>
        </w:div>
        <w:div w:id="249119599">
          <w:marLeft w:val="0"/>
          <w:marRight w:val="0"/>
          <w:marTop w:val="0"/>
          <w:marBottom w:val="0"/>
          <w:divBdr>
            <w:top w:val="none" w:sz="0" w:space="0" w:color="auto"/>
            <w:left w:val="none" w:sz="0" w:space="0" w:color="auto"/>
            <w:bottom w:val="none" w:sz="0" w:space="0" w:color="auto"/>
            <w:right w:val="none" w:sz="0" w:space="0" w:color="auto"/>
          </w:divBdr>
        </w:div>
        <w:div w:id="281889700">
          <w:marLeft w:val="0"/>
          <w:marRight w:val="0"/>
          <w:marTop w:val="0"/>
          <w:marBottom w:val="0"/>
          <w:divBdr>
            <w:top w:val="none" w:sz="0" w:space="0" w:color="auto"/>
            <w:left w:val="none" w:sz="0" w:space="0" w:color="auto"/>
            <w:bottom w:val="none" w:sz="0" w:space="0" w:color="auto"/>
            <w:right w:val="none" w:sz="0" w:space="0" w:color="auto"/>
          </w:divBdr>
        </w:div>
        <w:div w:id="2140800283">
          <w:marLeft w:val="0"/>
          <w:marRight w:val="0"/>
          <w:marTop w:val="0"/>
          <w:marBottom w:val="0"/>
          <w:divBdr>
            <w:top w:val="none" w:sz="0" w:space="0" w:color="auto"/>
            <w:left w:val="none" w:sz="0" w:space="0" w:color="auto"/>
            <w:bottom w:val="none" w:sz="0" w:space="0" w:color="auto"/>
            <w:right w:val="none" w:sz="0" w:space="0" w:color="auto"/>
          </w:divBdr>
        </w:div>
        <w:div w:id="1453555024">
          <w:marLeft w:val="0"/>
          <w:marRight w:val="0"/>
          <w:marTop w:val="0"/>
          <w:marBottom w:val="0"/>
          <w:divBdr>
            <w:top w:val="none" w:sz="0" w:space="0" w:color="auto"/>
            <w:left w:val="none" w:sz="0" w:space="0" w:color="auto"/>
            <w:bottom w:val="none" w:sz="0" w:space="0" w:color="auto"/>
            <w:right w:val="none" w:sz="0" w:space="0" w:color="auto"/>
          </w:divBdr>
        </w:div>
      </w:divsChild>
    </w:div>
    <w:div w:id="510922907">
      <w:bodyDiv w:val="1"/>
      <w:marLeft w:val="0"/>
      <w:marRight w:val="0"/>
      <w:marTop w:val="0"/>
      <w:marBottom w:val="0"/>
      <w:divBdr>
        <w:top w:val="none" w:sz="0" w:space="0" w:color="auto"/>
        <w:left w:val="none" w:sz="0" w:space="0" w:color="auto"/>
        <w:bottom w:val="none" w:sz="0" w:space="0" w:color="auto"/>
        <w:right w:val="none" w:sz="0" w:space="0" w:color="auto"/>
      </w:divBdr>
    </w:div>
    <w:div w:id="530189611">
      <w:bodyDiv w:val="1"/>
      <w:marLeft w:val="0"/>
      <w:marRight w:val="0"/>
      <w:marTop w:val="0"/>
      <w:marBottom w:val="0"/>
      <w:divBdr>
        <w:top w:val="none" w:sz="0" w:space="0" w:color="auto"/>
        <w:left w:val="none" w:sz="0" w:space="0" w:color="auto"/>
        <w:bottom w:val="none" w:sz="0" w:space="0" w:color="auto"/>
        <w:right w:val="none" w:sz="0" w:space="0" w:color="auto"/>
      </w:divBdr>
    </w:div>
    <w:div w:id="726883097">
      <w:bodyDiv w:val="1"/>
      <w:marLeft w:val="0"/>
      <w:marRight w:val="0"/>
      <w:marTop w:val="0"/>
      <w:marBottom w:val="0"/>
      <w:divBdr>
        <w:top w:val="none" w:sz="0" w:space="0" w:color="auto"/>
        <w:left w:val="none" w:sz="0" w:space="0" w:color="auto"/>
        <w:bottom w:val="none" w:sz="0" w:space="0" w:color="auto"/>
        <w:right w:val="none" w:sz="0" w:space="0" w:color="auto"/>
      </w:divBdr>
    </w:div>
    <w:div w:id="775759078">
      <w:bodyDiv w:val="1"/>
      <w:marLeft w:val="0"/>
      <w:marRight w:val="0"/>
      <w:marTop w:val="0"/>
      <w:marBottom w:val="0"/>
      <w:divBdr>
        <w:top w:val="none" w:sz="0" w:space="0" w:color="auto"/>
        <w:left w:val="none" w:sz="0" w:space="0" w:color="auto"/>
        <w:bottom w:val="none" w:sz="0" w:space="0" w:color="auto"/>
        <w:right w:val="none" w:sz="0" w:space="0" w:color="auto"/>
      </w:divBdr>
    </w:div>
    <w:div w:id="891691382">
      <w:bodyDiv w:val="1"/>
      <w:marLeft w:val="0"/>
      <w:marRight w:val="0"/>
      <w:marTop w:val="0"/>
      <w:marBottom w:val="0"/>
      <w:divBdr>
        <w:top w:val="none" w:sz="0" w:space="0" w:color="auto"/>
        <w:left w:val="none" w:sz="0" w:space="0" w:color="auto"/>
        <w:bottom w:val="none" w:sz="0" w:space="0" w:color="auto"/>
        <w:right w:val="none" w:sz="0" w:space="0" w:color="auto"/>
      </w:divBdr>
    </w:div>
    <w:div w:id="966622414">
      <w:bodyDiv w:val="1"/>
      <w:marLeft w:val="0"/>
      <w:marRight w:val="0"/>
      <w:marTop w:val="0"/>
      <w:marBottom w:val="0"/>
      <w:divBdr>
        <w:top w:val="none" w:sz="0" w:space="0" w:color="auto"/>
        <w:left w:val="none" w:sz="0" w:space="0" w:color="auto"/>
        <w:bottom w:val="none" w:sz="0" w:space="0" w:color="auto"/>
        <w:right w:val="none" w:sz="0" w:space="0" w:color="auto"/>
      </w:divBdr>
    </w:div>
    <w:div w:id="1036538422">
      <w:bodyDiv w:val="1"/>
      <w:marLeft w:val="0"/>
      <w:marRight w:val="0"/>
      <w:marTop w:val="0"/>
      <w:marBottom w:val="0"/>
      <w:divBdr>
        <w:top w:val="none" w:sz="0" w:space="0" w:color="auto"/>
        <w:left w:val="none" w:sz="0" w:space="0" w:color="auto"/>
        <w:bottom w:val="none" w:sz="0" w:space="0" w:color="auto"/>
        <w:right w:val="none" w:sz="0" w:space="0" w:color="auto"/>
      </w:divBdr>
    </w:div>
    <w:div w:id="1042022491">
      <w:bodyDiv w:val="1"/>
      <w:marLeft w:val="0"/>
      <w:marRight w:val="0"/>
      <w:marTop w:val="0"/>
      <w:marBottom w:val="0"/>
      <w:divBdr>
        <w:top w:val="none" w:sz="0" w:space="0" w:color="auto"/>
        <w:left w:val="none" w:sz="0" w:space="0" w:color="auto"/>
        <w:bottom w:val="none" w:sz="0" w:space="0" w:color="auto"/>
        <w:right w:val="none" w:sz="0" w:space="0" w:color="auto"/>
      </w:divBdr>
    </w:div>
    <w:div w:id="1410418204">
      <w:bodyDiv w:val="1"/>
      <w:marLeft w:val="0"/>
      <w:marRight w:val="0"/>
      <w:marTop w:val="0"/>
      <w:marBottom w:val="0"/>
      <w:divBdr>
        <w:top w:val="none" w:sz="0" w:space="0" w:color="auto"/>
        <w:left w:val="none" w:sz="0" w:space="0" w:color="auto"/>
        <w:bottom w:val="none" w:sz="0" w:space="0" w:color="auto"/>
        <w:right w:val="none" w:sz="0" w:space="0" w:color="auto"/>
      </w:divBdr>
    </w:div>
    <w:div w:id="1514684539">
      <w:bodyDiv w:val="1"/>
      <w:marLeft w:val="0"/>
      <w:marRight w:val="0"/>
      <w:marTop w:val="0"/>
      <w:marBottom w:val="0"/>
      <w:divBdr>
        <w:top w:val="none" w:sz="0" w:space="0" w:color="auto"/>
        <w:left w:val="none" w:sz="0" w:space="0" w:color="auto"/>
        <w:bottom w:val="none" w:sz="0" w:space="0" w:color="auto"/>
        <w:right w:val="none" w:sz="0" w:space="0" w:color="auto"/>
      </w:divBdr>
    </w:div>
    <w:div w:id="1625649918">
      <w:bodyDiv w:val="1"/>
      <w:marLeft w:val="0"/>
      <w:marRight w:val="0"/>
      <w:marTop w:val="0"/>
      <w:marBottom w:val="0"/>
      <w:divBdr>
        <w:top w:val="none" w:sz="0" w:space="0" w:color="auto"/>
        <w:left w:val="none" w:sz="0" w:space="0" w:color="auto"/>
        <w:bottom w:val="none" w:sz="0" w:space="0" w:color="auto"/>
        <w:right w:val="none" w:sz="0" w:space="0" w:color="auto"/>
      </w:divBdr>
    </w:div>
    <w:div w:id="1716927717">
      <w:bodyDiv w:val="1"/>
      <w:marLeft w:val="0"/>
      <w:marRight w:val="0"/>
      <w:marTop w:val="0"/>
      <w:marBottom w:val="0"/>
      <w:divBdr>
        <w:top w:val="none" w:sz="0" w:space="0" w:color="auto"/>
        <w:left w:val="none" w:sz="0" w:space="0" w:color="auto"/>
        <w:bottom w:val="none" w:sz="0" w:space="0" w:color="auto"/>
        <w:right w:val="none" w:sz="0" w:space="0" w:color="auto"/>
      </w:divBdr>
    </w:div>
    <w:div w:id="1823768480">
      <w:bodyDiv w:val="1"/>
      <w:marLeft w:val="0"/>
      <w:marRight w:val="0"/>
      <w:marTop w:val="0"/>
      <w:marBottom w:val="0"/>
      <w:divBdr>
        <w:top w:val="none" w:sz="0" w:space="0" w:color="auto"/>
        <w:left w:val="none" w:sz="0" w:space="0" w:color="auto"/>
        <w:bottom w:val="none" w:sz="0" w:space="0" w:color="auto"/>
        <w:right w:val="none" w:sz="0" w:space="0" w:color="auto"/>
      </w:divBdr>
    </w:div>
    <w:div w:id="1864634981">
      <w:bodyDiv w:val="1"/>
      <w:marLeft w:val="0"/>
      <w:marRight w:val="0"/>
      <w:marTop w:val="0"/>
      <w:marBottom w:val="0"/>
      <w:divBdr>
        <w:top w:val="none" w:sz="0" w:space="0" w:color="auto"/>
        <w:left w:val="none" w:sz="0" w:space="0" w:color="auto"/>
        <w:bottom w:val="none" w:sz="0" w:space="0" w:color="auto"/>
        <w:right w:val="none" w:sz="0" w:space="0" w:color="auto"/>
      </w:divBdr>
    </w:div>
    <w:div w:id="1910529637">
      <w:bodyDiv w:val="1"/>
      <w:marLeft w:val="0"/>
      <w:marRight w:val="0"/>
      <w:marTop w:val="0"/>
      <w:marBottom w:val="0"/>
      <w:divBdr>
        <w:top w:val="none" w:sz="0" w:space="0" w:color="auto"/>
        <w:left w:val="none" w:sz="0" w:space="0" w:color="auto"/>
        <w:bottom w:val="none" w:sz="0" w:space="0" w:color="auto"/>
        <w:right w:val="none" w:sz="0" w:space="0" w:color="auto"/>
      </w:divBdr>
    </w:div>
    <w:div w:id="1932273822">
      <w:bodyDiv w:val="1"/>
      <w:marLeft w:val="0"/>
      <w:marRight w:val="0"/>
      <w:marTop w:val="0"/>
      <w:marBottom w:val="0"/>
      <w:divBdr>
        <w:top w:val="none" w:sz="0" w:space="0" w:color="auto"/>
        <w:left w:val="none" w:sz="0" w:space="0" w:color="auto"/>
        <w:bottom w:val="none" w:sz="0" w:space="0" w:color="auto"/>
        <w:right w:val="none" w:sz="0" w:space="0" w:color="auto"/>
      </w:divBdr>
    </w:div>
    <w:div w:id="2024285835">
      <w:bodyDiv w:val="1"/>
      <w:marLeft w:val="0"/>
      <w:marRight w:val="0"/>
      <w:marTop w:val="0"/>
      <w:marBottom w:val="0"/>
      <w:divBdr>
        <w:top w:val="none" w:sz="0" w:space="0" w:color="auto"/>
        <w:left w:val="none" w:sz="0" w:space="0" w:color="auto"/>
        <w:bottom w:val="none" w:sz="0" w:space="0" w:color="auto"/>
        <w:right w:val="none" w:sz="0" w:space="0" w:color="auto"/>
      </w:divBdr>
    </w:div>
    <w:div w:id="2035645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f0BUzvq3BadSROvLtdSbHj2yCrIkvPmGFKnoFqyxfhg/edit?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Williamson\Downloads\Word%20statement%201-column%20template.dotx" TargetMode="External"/></Relationships>
</file>

<file path=word/theme/theme1.xml><?xml version="1.0" encoding="utf-8"?>
<a:theme xmlns:a="http://schemas.openxmlformats.org/drawingml/2006/main" name="HelpAge Theme v3 Verdana">
  <a:themeElements>
    <a:clrScheme name="Helpage">
      <a:dk1>
        <a:srgbClr val="000000"/>
      </a:dk1>
      <a:lt1>
        <a:srgbClr val="FFFFFF"/>
      </a:lt1>
      <a:dk2>
        <a:srgbClr val="8A7C66"/>
      </a:dk2>
      <a:lt2>
        <a:srgbClr val="F1EFEC"/>
      </a:lt2>
      <a:accent1>
        <a:srgbClr val="F33062"/>
      </a:accent1>
      <a:accent2>
        <a:srgbClr val="C9231E"/>
      </a:accent2>
      <a:accent3>
        <a:srgbClr val="F15720"/>
      </a:accent3>
      <a:accent4>
        <a:srgbClr val="A49783"/>
      </a:accent4>
      <a:accent5>
        <a:srgbClr val="F37196"/>
      </a:accent5>
      <a:accent6>
        <a:srgbClr val="D66E74"/>
      </a:accent6>
      <a:hlink>
        <a:srgbClr val="8A7B66"/>
      </a:hlink>
      <a:folHlink>
        <a:srgbClr val="8A7B6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03" charset="0"/>
            <a:ea typeface="ＭＳ Ｐゴシック" pitchFamily="-103" charset="-128"/>
            <a:cs typeface="ＭＳ Ｐゴシック" pitchFamily="-103"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03" charset="0"/>
            <a:ea typeface="ＭＳ Ｐゴシック" pitchFamily="-103" charset="-128"/>
            <a:cs typeface="ＭＳ Ｐゴシック" pitchFamily="-103"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elpAge Theme v3 Verdana" id="{95B8A51A-572E-B14C-B30D-BAE127A202AD}" vid="{95B2E244-D592-DE48-A05B-BF7D57606DD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4cacb5-6931-4d42-ac15-8acc6185797d">
      <Terms xmlns="http://schemas.microsoft.com/office/infopath/2007/PartnerControls"/>
    </lcf76f155ced4ddcb4097134ff3c332f>
    <TaxCatchAll xmlns="cee356a3-afd3-471b-abaf-7e7875244c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E8F07AB3F1B048AD8C8C8D82FB73BE" ma:contentTypeVersion="13" ma:contentTypeDescription="Create a new document." ma:contentTypeScope="" ma:versionID="89f3717127d9d25b0c4aa4c54d953cdf">
  <xsd:schema xmlns:xsd="http://www.w3.org/2001/XMLSchema" xmlns:xs="http://www.w3.org/2001/XMLSchema" xmlns:p="http://schemas.microsoft.com/office/2006/metadata/properties" xmlns:ns2="774cacb5-6931-4d42-ac15-8acc6185797d" xmlns:ns3="cee356a3-afd3-471b-abaf-7e7875244ced" targetNamespace="http://schemas.microsoft.com/office/2006/metadata/properties" ma:root="true" ma:fieldsID="a54fb1e8831ca8a927e56d40dc51405d" ns2:_="" ns3:_="">
    <xsd:import namespace="774cacb5-6931-4d42-ac15-8acc6185797d"/>
    <xsd:import namespace="cee356a3-afd3-471b-abaf-7e7875244c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cacb5-6931-4d42-ac15-8acc61857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40b10c-e8d8-4627-bfbe-723fbe7b52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e356a3-afd3-471b-abaf-7e7875244c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0a01f0-6810-4200-868d-73b2592bc212}" ma:internalName="TaxCatchAll" ma:showField="CatchAllData" ma:web="cee356a3-afd3-471b-abaf-7e7875244c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32D3-1938-4DDE-A3E4-356AD9FEA16D}">
  <ds:schemaRefs>
    <ds:schemaRef ds:uri="http://schemas.microsoft.com/office/2006/metadata/properties"/>
    <ds:schemaRef ds:uri="http://schemas.microsoft.com/office/infopath/2007/PartnerControls"/>
    <ds:schemaRef ds:uri="774cacb5-6931-4d42-ac15-8acc6185797d"/>
    <ds:schemaRef ds:uri="cee356a3-afd3-471b-abaf-7e7875244ced"/>
  </ds:schemaRefs>
</ds:datastoreItem>
</file>

<file path=customXml/itemProps2.xml><?xml version="1.0" encoding="utf-8"?>
<ds:datastoreItem xmlns:ds="http://schemas.openxmlformats.org/officeDocument/2006/customXml" ds:itemID="{FD6436CC-7099-4A11-AAD5-ACF0A7B8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cacb5-6931-4d42-ac15-8acc6185797d"/>
    <ds:schemaRef ds:uri="cee356a3-afd3-471b-abaf-7e7875244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9FD40-C4A7-4137-BD24-68F97D3B54CF}">
  <ds:schemaRefs>
    <ds:schemaRef ds:uri="http://schemas.microsoft.com/sharepoint/v3/contenttype/forms"/>
  </ds:schemaRefs>
</ds:datastoreItem>
</file>

<file path=customXml/itemProps4.xml><?xml version="1.0" encoding="utf-8"?>
<ds:datastoreItem xmlns:ds="http://schemas.openxmlformats.org/officeDocument/2006/customXml" ds:itemID="{D054BD36-D800-4E92-8637-CF08B206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statement 1-column template</Template>
  <TotalTime>1</TotalTime>
  <Pages>6</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TRUE</Company>
  <LinksUpToDate>false</LinksUpToDate>
  <CharactersWithSpaces>16938</CharactersWithSpaces>
  <SharedDoc>false</SharedDoc>
  <HLinks>
    <vt:vector size="42" baseType="variant">
      <vt:variant>
        <vt:i4>4063314</vt:i4>
      </vt:variant>
      <vt:variant>
        <vt:i4>6</vt:i4>
      </vt:variant>
      <vt:variant>
        <vt:i4>0</vt:i4>
      </vt:variant>
      <vt:variant>
        <vt:i4>5</vt:i4>
      </vt:variant>
      <vt:variant>
        <vt:lpwstr>http://www.helpage.org/brand/basic-elements/editorial-style</vt:lpwstr>
      </vt:variant>
      <vt:variant>
        <vt:lpwstr/>
      </vt:variant>
      <vt:variant>
        <vt:i4>2293886</vt:i4>
      </vt:variant>
      <vt:variant>
        <vt:i4>3</vt:i4>
      </vt:variant>
      <vt:variant>
        <vt:i4>0</vt:i4>
      </vt:variant>
      <vt:variant>
        <vt:i4>5</vt:i4>
      </vt:variant>
      <vt:variant>
        <vt:lpwstr>http://www.helpage.org</vt:lpwstr>
      </vt:variant>
      <vt:variant>
        <vt:lpwstr/>
      </vt:variant>
      <vt:variant>
        <vt:i4>4063314</vt:i4>
      </vt:variant>
      <vt:variant>
        <vt:i4>0</vt:i4>
      </vt:variant>
      <vt:variant>
        <vt:i4>0</vt:i4>
      </vt:variant>
      <vt:variant>
        <vt:i4>5</vt:i4>
      </vt:variant>
      <vt:variant>
        <vt:lpwstr>http://www.helpage.org/brand/basic-elements/editorial-style</vt:lpwstr>
      </vt:variant>
      <vt:variant>
        <vt:lpwstr/>
      </vt:variant>
      <vt:variant>
        <vt:i4>2293886</vt:i4>
      </vt:variant>
      <vt:variant>
        <vt:i4>2</vt:i4>
      </vt:variant>
      <vt:variant>
        <vt:i4>0</vt:i4>
      </vt:variant>
      <vt:variant>
        <vt:i4>5</vt:i4>
      </vt:variant>
      <vt:variant>
        <vt:lpwstr>http://www.helpage.org</vt:lpwstr>
      </vt:variant>
      <vt:variant>
        <vt:lpwstr/>
      </vt:variant>
      <vt:variant>
        <vt:i4>5177409</vt:i4>
      </vt:variant>
      <vt:variant>
        <vt:i4>2051</vt:i4>
      </vt:variant>
      <vt:variant>
        <vt:i4>1025</vt:i4>
      </vt:variant>
      <vt:variant>
        <vt:i4>1</vt:i4>
      </vt:variant>
      <vt:variant>
        <vt:lpwstr>HelpAge-logo-RGB</vt:lpwstr>
      </vt:variant>
      <vt:variant>
        <vt:lpwstr/>
      </vt:variant>
      <vt:variant>
        <vt:i4>6029322</vt:i4>
      </vt:variant>
      <vt:variant>
        <vt:i4>9448</vt:i4>
      </vt:variant>
      <vt:variant>
        <vt:i4>1026</vt:i4>
      </vt:variant>
      <vt:variant>
        <vt:i4>1</vt:i4>
      </vt:variant>
      <vt:variant>
        <vt:lpwstr>Guidelines img 2</vt:lpwstr>
      </vt:variant>
      <vt:variant>
        <vt:lpwstr/>
      </vt:variant>
      <vt:variant>
        <vt:i4>6225930</vt:i4>
      </vt:variant>
      <vt:variant>
        <vt:i4>-1</vt:i4>
      </vt:variant>
      <vt:variant>
        <vt:i4>1097</vt:i4>
      </vt:variant>
      <vt:variant>
        <vt:i4>1</vt:i4>
      </vt:variant>
      <vt:variant>
        <vt:lpwstr>Guidelines img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Pares</dc:creator>
  <cp:keywords/>
  <cp:lastModifiedBy>Camilla Williamson</cp:lastModifiedBy>
  <cp:revision>3</cp:revision>
  <cp:lastPrinted>2016-07-04T10:58:00Z</cp:lastPrinted>
  <dcterms:created xsi:type="dcterms:W3CDTF">2023-05-19T13:44:00Z</dcterms:created>
  <dcterms:modified xsi:type="dcterms:W3CDTF">2023-05-25T15:02:00Z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0x010100AFE8F07AB3F1B048AD8C8C8D82FB73BE</vt:lpwstr>
  </property>
</Properties>
</file>