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174AB" w14:textId="77777777" w:rsidR="008F7BE1" w:rsidRPr="004F73C6" w:rsidRDefault="008F7BE1" w:rsidP="000E1C4C">
      <w:pPr>
        <w:spacing w:after="0"/>
        <w:jc w:val="center"/>
        <w:rPr>
          <w:rFonts w:ascii="Arial" w:hAnsi="Arial" w:cs="Arial"/>
          <w:b/>
          <w:color w:val="002060"/>
          <w:sz w:val="44"/>
          <w:szCs w:val="44"/>
          <w:lang w:val="en-GB"/>
        </w:rPr>
      </w:pPr>
    </w:p>
    <w:p w14:paraId="24DB0976" w14:textId="05A43C81" w:rsidR="00A9128D" w:rsidRPr="004F73C6" w:rsidRDefault="00161D81" w:rsidP="000E1C4C">
      <w:pPr>
        <w:spacing w:after="0"/>
        <w:jc w:val="center"/>
        <w:rPr>
          <w:rFonts w:ascii="Arial" w:hAnsi="Arial" w:cs="Arial"/>
          <w:b/>
          <w:color w:val="002060"/>
          <w:sz w:val="44"/>
          <w:szCs w:val="44"/>
          <w:lang w:val="en-GB"/>
        </w:rPr>
      </w:pPr>
      <w:r w:rsidRPr="004F73C6">
        <w:rPr>
          <w:rFonts w:ascii="Arial" w:hAnsi="Arial" w:cs="Arial"/>
          <w:b/>
          <w:color w:val="002060"/>
          <w:sz w:val="44"/>
          <w:szCs w:val="44"/>
          <w:lang w:val="en-GB"/>
        </w:rPr>
        <w:t>Accountability and Fulfil</w:t>
      </w:r>
      <w:r w:rsidR="008151E1" w:rsidRPr="004F73C6">
        <w:rPr>
          <w:rFonts w:ascii="Arial" w:hAnsi="Arial" w:cs="Arial"/>
          <w:b/>
          <w:color w:val="002060"/>
          <w:sz w:val="44"/>
          <w:szCs w:val="44"/>
          <w:lang w:val="en-GB"/>
        </w:rPr>
        <w:t>ment for</w:t>
      </w:r>
      <w:r w:rsidR="00167429" w:rsidRPr="004F73C6">
        <w:rPr>
          <w:rFonts w:ascii="Arial" w:hAnsi="Arial" w:cs="Arial"/>
          <w:b/>
          <w:color w:val="002060"/>
          <w:sz w:val="44"/>
          <w:szCs w:val="44"/>
          <w:lang w:val="en-GB"/>
        </w:rPr>
        <w:t xml:space="preserve"> </w:t>
      </w:r>
      <w:r w:rsidR="008151E1" w:rsidRPr="004F73C6">
        <w:rPr>
          <w:rFonts w:ascii="Arial" w:hAnsi="Arial" w:cs="Arial"/>
          <w:b/>
          <w:color w:val="002060"/>
          <w:sz w:val="44"/>
          <w:szCs w:val="44"/>
          <w:lang w:val="en-GB"/>
        </w:rPr>
        <w:t>Older people in o</w:t>
      </w:r>
      <w:r w:rsidR="00A9128D" w:rsidRPr="004F73C6">
        <w:rPr>
          <w:rFonts w:ascii="Arial" w:hAnsi="Arial" w:cs="Arial"/>
          <w:b/>
          <w:color w:val="002060"/>
          <w:sz w:val="44"/>
          <w:szCs w:val="44"/>
          <w:lang w:val="en-GB"/>
        </w:rPr>
        <w:t>rder to Raise their Dignity</w:t>
      </w:r>
      <w:r w:rsidR="00167429" w:rsidRPr="004F73C6">
        <w:rPr>
          <w:rFonts w:ascii="Arial" w:hAnsi="Arial" w:cs="Arial"/>
          <w:b/>
          <w:color w:val="002060"/>
          <w:sz w:val="44"/>
          <w:szCs w:val="44"/>
          <w:lang w:val="en-GB"/>
        </w:rPr>
        <w:t xml:space="preserve"> </w:t>
      </w:r>
      <w:r w:rsidR="00A9128D" w:rsidRPr="004F73C6">
        <w:rPr>
          <w:rFonts w:ascii="Arial" w:hAnsi="Arial" w:cs="Arial"/>
          <w:b/>
          <w:color w:val="002060"/>
          <w:sz w:val="44"/>
          <w:szCs w:val="44"/>
          <w:lang w:val="en-GB"/>
        </w:rPr>
        <w:t>(AFFORD) Programme</w:t>
      </w:r>
    </w:p>
    <w:p w14:paraId="0206C4A5" w14:textId="6F923B9F" w:rsidR="00A9128D" w:rsidRPr="004F73C6" w:rsidRDefault="00A9128D" w:rsidP="00A9128D">
      <w:pPr>
        <w:spacing w:after="0"/>
        <w:jc w:val="center"/>
        <w:rPr>
          <w:rFonts w:ascii="Arial" w:hAnsi="Arial" w:cs="Arial"/>
          <w:b/>
          <w:color w:val="FF0000"/>
          <w:szCs w:val="20"/>
          <w:lang w:val="en-GB"/>
        </w:rPr>
      </w:pPr>
    </w:p>
    <w:p w14:paraId="58B29A13" w14:textId="77777777" w:rsidR="00A9128D" w:rsidRPr="004F73C6" w:rsidRDefault="00A9128D" w:rsidP="00A9128D">
      <w:pPr>
        <w:jc w:val="right"/>
        <w:rPr>
          <w:rFonts w:ascii="Arial" w:hAnsi="Arial" w:cs="Arial"/>
          <w:b/>
          <w:color w:val="FF0000"/>
          <w:szCs w:val="20"/>
          <w:lang w:val="en-GB"/>
        </w:rPr>
      </w:pPr>
    </w:p>
    <w:p w14:paraId="58062631" w14:textId="77777777" w:rsidR="00325FAB" w:rsidRPr="004F73C6" w:rsidRDefault="00325FAB" w:rsidP="00A9128D">
      <w:pPr>
        <w:jc w:val="center"/>
        <w:rPr>
          <w:rFonts w:ascii="Arial" w:hAnsi="Arial" w:cs="Arial"/>
          <w:b/>
          <w:sz w:val="28"/>
          <w:szCs w:val="28"/>
          <w:lang w:val="en-GB"/>
        </w:rPr>
      </w:pPr>
    </w:p>
    <w:p w14:paraId="1DE09F1E" w14:textId="77777777" w:rsidR="004E52A3" w:rsidRPr="004F73C6" w:rsidRDefault="004E52A3" w:rsidP="00A9128D">
      <w:pPr>
        <w:jc w:val="center"/>
        <w:rPr>
          <w:rFonts w:ascii="Arial" w:hAnsi="Arial" w:cs="Arial"/>
          <w:b/>
          <w:sz w:val="28"/>
          <w:szCs w:val="28"/>
          <w:lang w:val="en-GB"/>
        </w:rPr>
      </w:pPr>
    </w:p>
    <w:p w14:paraId="2A21D69B" w14:textId="3EC29069" w:rsidR="00A9128D" w:rsidRPr="004F73C6" w:rsidRDefault="00325FAB" w:rsidP="00A9128D">
      <w:pPr>
        <w:jc w:val="center"/>
        <w:rPr>
          <w:rFonts w:ascii="Arial" w:hAnsi="Arial" w:cs="Arial"/>
          <w:b/>
          <w:sz w:val="38"/>
          <w:szCs w:val="28"/>
          <w:lang w:val="en-GB"/>
        </w:rPr>
      </w:pPr>
      <w:r w:rsidRPr="004F73C6">
        <w:rPr>
          <w:rFonts w:ascii="Arial" w:hAnsi="Arial" w:cs="Arial"/>
          <w:b/>
          <w:sz w:val="38"/>
          <w:szCs w:val="28"/>
          <w:lang w:val="en-GB"/>
        </w:rPr>
        <w:t xml:space="preserve">2014 </w:t>
      </w:r>
      <w:r w:rsidR="00A63109" w:rsidRPr="004F73C6">
        <w:rPr>
          <w:rFonts w:ascii="Arial" w:hAnsi="Arial" w:cs="Arial"/>
          <w:b/>
          <w:sz w:val="38"/>
          <w:szCs w:val="28"/>
          <w:lang w:val="en-GB"/>
        </w:rPr>
        <w:t>MID</w:t>
      </w:r>
      <w:r w:rsidR="00573B2B" w:rsidRPr="004F73C6">
        <w:rPr>
          <w:rFonts w:ascii="Arial" w:hAnsi="Arial" w:cs="Arial"/>
          <w:b/>
          <w:sz w:val="38"/>
          <w:szCs w:val="28"/>
          <w:lang w:val="en-GB"/>
        </w:rPr>
        <w:t>-</w:t>
      </w:r>
      <w:r w:rsidR="00A63109" w:rsidRPr="004F73C6">
        <w:rPr>
          <w:rFonts w:ascii="Arial" w:hAnsi="Arial" w:cs="Arial"/>
          <w:b/>
          <w:sz w:val="38"/>
          <w:szCs w:val="28"/>
          <w:lang w:val="en-GB"/>
        </w:rPr>
        <w:t>TERM REVIEW</w:t>
      </w:r>
    </w:p>
    <w:p w14:paraId="6DF372D6" w14:textId="77777777" w:rsidR="00A9128D" w:rsidRPr="004F73C6" w:rsidRDefault="00A9128D" w:rsidP="00A9128D">
      <w:pPr>
        <w:jc w:val="center"/>
        <w:rPr>
          <w:rFonts w:ascii="Arial" w:hAnsi="Arial" w:cs="Arial"/>
          <w:b/>
          <w:sz w:val="24"/>
          <w:szCs w:val="24"/>
          <w:lang w:val="en-GB"/>
        </w:rPr>
      </w:pPr>
    </w:p>
    <w:p w14:paraId="2F8979FF" w14:textId="77777777" w:rsidR="00A9128D" w:rsidRPr="004F73C6" w:rsidRDefault="00A9128D" w:rsidP="00A9128D">
      <w:pPr>
        <w:jc w:val="center"/>
        <w:rPr>
          <w:rFonts w:ascii="Arial" w:hAnsi="Arial" w:cs="Arial"/>
          <w:b/>
          <w:sz w:val="24"/>
          <w:szCs w:val="24"/>
          <w:lang w:val="en-GB"/>
        </w:rPr>
      </w:pPr>
    </w:p>
    <w:p w14:paraId="7EF40123" w14:textId="77777777" w:rsidR="00325FAB" w:rsidRPr="004F73C6" w:rsidRDefault="00325FAB" w:rsidP="00A9128D">
      <w:pPr>
        <w:jc w:val="center"/>
        <w:rPr>
          <w:rFonts w:ascii="Arial" w:hAnsi="Arial" w:cs="Arial"/>
          <w:b/>
          <w:sz w:val="24"/>
          <w:szCs w:val="24"/>
          <w:lang w:val="en-GB"/>
        </w:rPr>
      </w:pPr>
    </w:p>
    <w:p w14:paraId="71DC85A9" w14:textId="77777777" w:rsidR="00325FAB" w:rsidRPr="004F73C6" w:rsidRDefault="00325FAB" w:rsidP="00A9128D">
      <w:pPr>
        <w:jc w:val="center"/>
        <w:rPr>
          <w:rFonts w:ascii="Arial" w:hAnsi="Arial" w:cs="Arial"/>
          <w:b/>
          <w:sz w:val="24"/>
          <w:szCs w:val="24"/>
          <w:lang w:val="en-GB"/>
        </w:rPr>
      </w:pPr>
    </w:p>
    <w:p w14:paraId="481A0806" w14:textId="77777777" w:rsidR="00A9128D" w:rsidRPr="004F73C6" w:rsidRDefault="00A9128D" w:rsidP="00A9128D">
      <w:pPr>
        <w:jc w:val="center"/>
        <w:rPr>
          <w:rFonts w:ascii="Arial" w:hAnsi="Arial" w:cs="Arial"/>
          <w:b/>
          <w:sz w:val="24"/>
          <w:szCs w:val="24"/>
          <w:lang w:val="en-GB"/>
        </w:rPr>
      </w:pPr>
    </w:p>
    <w:p w14:paraId="29B2A699" w14:textId="77777777" w:rsidR="00E41A91" w:rsidRPr="004F73C6" w:rsidRDefault="001E404E" w:rsidP="00A9128D">
      <w:pPr>
        <w:jc w:val="center"/>
        <w:rPr>
          <w:rFonts w:ascii="Arial" w:hAnsi="Arial" w:cs="Arial"/>
          <w:b/>
          <w:sz w:val="24"/>
          <w:szCs w:val="24"/>
          <w:lang w:val="en-GB"/>
        </w:rPr>
      </w:pPr>
      <w:r w:rsidRPr="004F73C6">
        <w:rPr>
          <w:rFonts w:ascii="Arial" w:hAnsi="Arial" w:cs="Arial"/>
          <w:b/>
          <w:noProof/>
          <w:sz w:val="24"/>
          <w:szCs w:val="24"/>
          <w:lang w:val="en-GB" w:eastAsia="en-GB"/>
        </w:rPr>
        <w:drawing>
          <wp:anchor distT="0" distB="0" distL="114300" distR="114300" simplePos="0" relativeHeight="251660288" behindDoc="0" locked="0" layoutInCell="1" allowOverlap="1" wp14:anchorId="43936329" wp14:editId="084FF8A9">
            <wp:simplePos x="0" y="0"/>
            <wp:positionH relativeFrom="column">
              <wp:posOffset>3248025</wp:posOffset>
            </wp:positionH>
            <wp:positionV relativeFrom="paragraph">
              <wp:posOffset>178435</wp:posOffset>
            </wp:positionV>
            <wp:extent cx="1371600" cy="714375"/>
            <wp:effectExtent l="19050" t="0" r="0" b="0"/>
            <wp:wrapThrough wrapText="right">
              <wp:wrapPolygon edited="0">
                <wp:start x="-300" y="0"/>
                <wp:lineTo x="-300" y="21312"/>
                <wp:lineTo x="21600" y="21312"/>
                <wp:lineTo x="21600" y="0"/>
                <wp:lineTo x="-300" y="0"/>
              </wp:wrapPolygon>
            </wp:wrapThrough>
            <wp:docPr id="1" name="Picture 13" descr="Description: C:\Users\Fortune\AppData\Local\Microsoft\Windows\Temporary Internet Files\Content.Outlook\J812UEXG\IA_GovLogo_SimpleHarp_Colo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Fortune\AppData\Local\Microsoft\Windows\Temporary Internet Files\Content.Outlook\J812UEXG\IA_GovLogo_SimpleHarp_Colour (2).jpg"/>
                    <pic:cNvPicPr>
                      <a:picLocks noChangeAspect="1" noChangeArrowheads="1"/>
                    </pic:cNvPicPr>
                  </pic:nvPicPr>
                  <pic:blipFill>
                    <a:blip r:embed="rId9"/>
                    <a:srcRect/>
                    <a:stretch>
                      <a:fillRect/>
                    </a:stretch>
                  </pic:blipFill>
                  <pic:spPr bwMode="auto">
                    <a:xfrm>
                      <a:off x="0" y="0"/>
                      <a:ext cx="1371600" cy="714375"/>
                    </a:xfrm>
                    <a:prstGeom prst="rect">
                      <a:avLst/>
                    </a:prstGeom>
                    <a:noFill/>
                    <a:ln w="9525">
                      <a:noFill/>
                      <a:miter lim="800000"/>
                      <a:headEnd/>
                      <a:tailEnd/>
                    </a:ln>
                  </pic:spPr>
                </pic:pic>
              </a:graphicData>
            </a:graphic>
          </wp:anchor>
        </w:drawing>
      </w:r>
      <w:r w:rsidRPr="004F73C6">
        <w:rPr>
          <w:rFonts w:ascii="Arial" w:hAnsi="Arial" w:cs="Arial"/>
          <w:b/>
          <w:noProof/>
          <w:sz w:val="24"/>
          <w:szCs w:val="24"/>
          <w:lang w:val="en-GB" w:eastAsia="en-GB"/>
        </w:rPr>
        <w:drawing>
          <wp:anchor distT="0" distB="0" distL="114300" distR="114300" simplePos="0" relativeHeight="251659264" behindDoc="0" locked="0" layoutInCell="1" allowOverlap="1" wp14:anchorId="7F0319EC" wp14:editId="35066B38">
            <wp:simplePos x="0" y="0"/>
            <wp:positionH relativeFrom="column">
              <wp:posOffset>1504950</wp:posOffset>
            </wp:positionH>
            <wp:positionV relativeFrom="paragraph">
              <wp:posOffset>235585</wp:posOffset>
            </wp:positionV>
            <wp:extent cx="1362075" cy="657225"/>
            <wp:effectExtent l="19050" t="0" r="9525" b="0"/>
            <wp:wrapThrough wrapText="right">
              <wp:wrapPolygon edited="0">
                <wp:start x="-302" y="0"/>
                <wp:lineTo x="-302" y="21287"/>
                <wp:lineTo x="21751" y="21287"/>
                <wp:lineTo x="21751" y="0"/>
                <wp:lineTo x="-30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62075" cy="657225"/>
                    </a:xfrm>
                    <a:prstGeom prst="rect">
                      <a:avLst/>
                    </a:prstGeom>
                    <a:noFill/>
                    <a:ln w="9525">
                      <a:noFill/>
                      <a:miter lim="800000"/>
                      <a:headEnd/>
                      <a:tailEnd/>
                    </a:ln>
                  </pic:spPr>
                </pic:pic>
              </a:graphicData>
            </a:graphic>
          </wp:anchor>
        </w:drawing>
      </w:r>
    </w:p>
    <w:p w14:paraId="45ADFBF2" w14:textId="77777777" w:rsidR="001E404E" w:rsidRPr="004F73C6" w:rsidRDefault="001E404E" w:rsidP="00A9128D">
      <w:pPr>
        <w:jc w:val="center"/>
        <w:rPr>
          <w:rFonts w:ascii="Arial" w:hAnsi="Arial" w:cs="Arial"/>
          <w:b/>
          <w:sz w:val="24"/>
          <w:szCs w:val="24"/>
          <w:lang w:val="en-GB"/>
        </w:rPr>
      </w:pPr>
    </w:p>
    <w:p w14:paraId="3EA74DE1" w14:textId="77777777" w:rsidR="001E404E" w:rsidRPr="004F73C6" w:rsidRDefault="001E404E" w:rsidP="00A9128D">
      <w:pPr>
        <w:jc w:val="center"/>
        <w:rPr>
          <w:rFonts w:ascii="Arial" w:hAnsi="Arial" w:cs="Arial"/>
          <w:b/>
          <w:sz w:val="24"/>
          <w:szCs w:val="24"/>
          <w:lang w:val="en-GB"/>
        </w:rPr>
      </w:pPr>
    </w:p>
    <w:p w14:paraId="336377D9" w14:textId="77777777" w:rsidR="001E404E" w:rsidRPr="004F73C6" w:rsidRDefault="001E404E" w:rsidP="00A9128D">
      <w:pPr>
        <w:jc w:val="center"/>
        <w:rPr>
          <w:rFonts w:ascii="Arial" w:hAnsi="Arial" w:cs="Arial"/>
          <w:b/>
          <w:sz w:val="24"/>
          <w:szCs w:val="24"/>
          <w:lang w:val="en-GB"/>
        </w:rPr>
      </w:pPr>
    </w:p>
    <w:p w14:paraId="09F981C6" w14:textId="77777777" w:rsidR="001E404E" w:rsidRPr="004F73C6" w:rsidRDefault="001E404E" w:rsidP="00A9128D">
      <w:pPr>
        <w:jc w:val="center"/>
        <w:rPr>
          <w:rFonts w:ascii="Arial" w:hAnsi="Arial" w:cs="Arial"/>
          <w:b/>
          <w:sz w:val="24"/>
          <w:szCs w:val="24"/>
          <w:lang w:val="en-GB"/>
        </w:rPr>
      </w:pPr>
    </w:p>
    <w:p w14:paraId="43F43669" w14:textId="77777777" w:rsidR="001E404E" w:rsidRPr="004F73C6" w:rsidRDefault="001E404E" w:rsidP="00A9128D">
      <w:pPr>
        <w:jc w:val="center"/>
        <w:rPr>
          <w:rFonts w:ascii="Arial" w:hAnsi="Arial" w:cs="Arial"/>
          <w:b/>
          <w:sz w:val="24"/>
          <w:szCs w:val="24"/>
          <w:lang w:val="en-GB"/>
        </w:rPr>
      </w:pPr>
    </w:p>
    <w:p w14:paraId="0AD83DCD" w14:textId="77777777" w:rsidR="001E404E" w:rsidRPr="004F73C6" w:rsidRDefault="001E404E" w:rsidP="00A9128D">
      <w:pPr>
        <w:jc w:val="center"/>
        <w:rPr>
          <w:rFonts w:ascii="Arial" w:hAnsi="Arial" w:cs="Arial"/>
          <w:b/>
          <w:sz w:val="24"/>
          <w:szCs w:val="24"/>
          <w:lang w:val="en-GB"/>
        </w:rPr>
      </w:pPr>
    </w:p>
    <w:p w14:paraId="24C7AB47" w14:textId="77777777" w:rsidR="001E404E" w:rsidRPr="004F73C6" w:rsidRDefault="001E404E" w:rsidP="00A9128D">
      <w:pPr>
        <w:jc w:val="center"/>
        <w:rPr>
          <w:rFonts w:ascii="Arial" w:hAnsi="Arial" w:cs="Arial"/>
          <w:b/>
          <w:sz w:val="24"/>
          <w:szCs w:val="24"/>
          <w:lang w:val="en-GB"/>
        </w:rPr>
      </w:pPr>
    </w:p>
    <w:p w14:paraId="7E4946B0" w14:textId="6A26F6B0" w:rsidR="00AE510C" w:rsidRPr="004F73C6" w:rsidRDefault="00AE510C" w:rsidP="00A9128D">
      <w:pPr>
        <w:jc w:val="center"/>
        <w:rPr>
          <w:rFonts w:ascii="Arial" w:hAnsi="Arial" w:cs="Arial"/>
          <w:b/>
          <w:color w:val="002060"/>
          <w:sz w:val="24"/>
          <w:szCs w:val="24"/>
          <w:lang w:val="en-GB"/>
        </w:rPr>
      </w:pPr>
      <w:r w:rsidRPr="004F73C6">
        <w:rPr>
          <w:rFonts w:ascii="Arial" w:hAnsi="Arial" w:cs="Arial"/>
          <w:b/>
          <w:color w:val="002060"/>
          <w:sz w:val="24"/>
          <w:szCs w:val="24"/>
          <w:lang w:val="en-GB"/>
        </w:rPr>
        <w:t>Ivan Kent</w:t>
      </w:r>
      <w:r w:rsidR="006701FA" w:rsidRPr="004F73C6">
        <w:rPr>
          <w:rStyle w:val="FootnoteReference"/>
          <w:rFonts w:ascii="Arial" w:hAnsi="Arial" w:cs="Arial"/>
          <w:b/>
          <w:color w:val="002060"/>
          <w:sz w:val="24"/>
          <w:szCs w:val="24"/>
          <w:lang w:val="en-GB"/>
        </w:rPr>
        <w:footnoteReference w:id="1"/>
      </w:r>
      <w:r w:rsidR="0016652B" w:rsidRPr="004F73C6">
        <w:rPr>
          <w:rFonts w:ascii="Arial" w:hAnsi="Arial" w:cs="Arial"/>
          <w:b/>
          <w:color w:val="002060"/>
          <w:sz w:val="24"/>
          <w:szCs w:val="24"/>
          <w:lang w:val="en-GB"/>
        </w:rPr>
        <w:t>,</w:t>
      </w:r>
      <w:r w:rsidR="008E3414" w:rsidRPr="004F73C6">
        <w:rPr>
          <w:rFonts w:ascii="Arial" w:hAnsi="Arial" w:cs="Arial"/>
          <w:b/>
          <w:color w:val="002060"/>
          <w:sz w:val="24"/>
          <w:szCs w:val="24"/>
          <w:lang w:val="en-GB"/>
        </w:rPr>
        <w:t xml:space="preserve"> </w:t>
      </w:r>
      <w:r w:rsidRPr="004F73C6">
        <w:rPr>
          <w:rFonts w:ascii="Arial" w:hAnsi="Arial" w:cs="Arial"/>
          <w:b/>
          <w:color w:val="002060"/>
          <w:sz w:val="24"/>
          <w:szCs w:val="24"/>
          <w:lang w:val="en-GB"/>
        </w:rPr>
        <w:t xml:space="preserve">Sydney </w:t>
      </w:r>
      <w:proofErr w:type="spellStart"/>
      <w:r w:rsidRPr="004F73C6">
        <w:rPr>
          <w:rFonts w:ascii="Arial" w:hAnsi="Arial" w:cs="Arial"/>
          <w:b/>
          <w:color w:val="002060"/>
          <w:sz w:val="24"/>
          <w:szCs w:val="24"/>
          <w:lang w:val="en-GB"/>
        </w:rPr>
        <w:t>Machafa</w:t>
      </w:r>
      <w:proofErr w:type="spellEnd"/>
      <w:r w:rsidR="006701FA" w:rsidRPr="004F73C6">
        <w:rPr>
          <w:rStyle w:val="FootnoteReference"/>
          <w:rFonts w:ascii="Arial" w:hAnsi="Arial" w:cs="Arial"/>
          <w:b/>
          <w:color w:val="002060"/>
          <w:sz w:val="24"/>
          <w:szCs w:val="24"/>
          <w:lang w:val="en-GB"/>
        </w:rPr>
        <w:footnoteReference w:id="2"/>
      </w:r>
      <w:r w:rsidRPr="004F73C6">
        <w:rPr>
          <w:rFonts w:ascii="Arial" w:hAnsi="Arial" w:cs="Arial"/>
          <w:b/>
          <w:color w:val="002060"/>
          <w:sz w:val="24"/>
          <w:szCs w:val="24"/>
          <w:lang w:val="en-GB"/>
        </w:rPr>
        <w:t xml:space="preserve">, Donnelly </w:t>
      </w:r>
      <w:proofErr w:type="spellStart"/>
      <w:r w:rsidRPr="004F73C6">
        <w:rPr>
          <w:rFonts w:ascii="Arial" w:hAnsi="Arial" w:cs="Arial"/>
          <w:b/>
          <w:color w:val="002060"/>
          <w:sz w:val="24"/>
          <w:szCs w:val="24"/>
          <w:lang w:val="en-GB"/>
        </w:rPr>
        <w:t>Mwachi</w:t>
      </w:r>
      <w:proofErr w:type="spellEnd"/>
      <w:r w:rsidR="006701FA" w:rsidRPr="004F73C6">
        <w:rPr>
          <w:rStyle w:val="FootnoteReference"/>
          <w:rFonts w:ascii="Arial" w:hAnsi="Arial" w:cs="Arial"/>
          <w:b/>
          <w:color w:val="002060"/>
          <w:sz w:val="24"/>
          <w:szCs w:val="24"/>
          <w:lang w:val="en-GB"/>
        </w:rPr>
        <w:footnoteReference w:id="3"/>
      </w:r>
      <w:r w:rsidRPr="004F73C6">
        <w:rPr>
          <w:rFonts w:ascii="Arial" w:hAnsi="Arial" w:cs="Arial"/>
          <w:b/>
          <w:color w:val="002060"/>
          <w:sz w:val="24"/>
          <w:szCs w:val="24"/>
          <w:lang w:val="en-GB"/>
        </w:rPr>
        <w:t>,</w:t>
      </w:r>
    </w:p>
    <w:p w14:paraId="0B4D620C" w14:textId="55E65B6B" w:rsidR="00A9128D" w:rsidRPr="004F73C6" w:rsidRDefault="00AE510C" w:rsidP="00A9128D">
      <w:pPr>
        <w:jc w:val="center"/>
        <w:rPr>
          <w:rFonts w:ascii="Arial" w:hAnsi="Arial" w:cs="Arial"/>
          <w:b/>
          <w:color w:val="002060"/>
          <w:sz w:val="24"/>
          <w:szCs w:val="24"/>
          <w:lang w:val="en-GB"/>
        </w:rPr>
      </w:pPr>
      <w:r w:rsidRPr="004F73C6">
        <w:rPr>
          <w:rFonts w:ascii="Arial" w:hAnsi="Arial" w:cs="Arial"/>
          <w:b/>
          <w:color w:val="002060"/>
          <w:sz w:val="24"/>
          <w:szCs w:val="24"/>
          <w:lang w:val="en-GB"/>
        </w:rPr>
        <w:t xml:space="preserve">Leonard </w:t>
      </w:r>
      <w:proofErr w:type="spellStart"/>
      <w:r w:rsidRPr="004F73C6">
        <w:rPr>
          <w:rFonts w:ascii="Arial" w:hAnsi="Arial" w:cs="Arial"/>
          <w:b/>
          <w:color w:val="002060"/>
          <w:sz w:val="24"/>
          <w:szCs w:val="24"/>
          <w:lang w:val="en-GB"/>
        </w:rPr>
        <w:t>Ndamgoba</w:t>
      </w:r>
      <w:proofErr w:type="spellEnd"/>
      <w:r w:rsidR="006701FA" w:rsidRPr="004F73C6">
        <w:rPr>
          <w:rStyle w:val="FootnoteReference"/>
          <w:rFonts w:ascii="Arial" w:hAnsi="Arial" w:cs="Arial"/>
          <w:b/>
          <w:color w:val="002060"/>
          <w:sz w:val="24"/>
          <w:szCs w:val="24"/>
          <w:lang w:val="en-GB"/>
        </w:rPr>
        <w:footnoteReference w:id="4"/>
      </w:r>
      <w:r w:rsidRPr="004F73C6">
        <w:rPr>
          <w:rFonts w:ascii="Arial" w:hAnsi="Arial" w:cs="Arial"/>
          <w:b/>
          <w:color w:val="002060"/>
          <w:sz w:val="24"/>
          <w:szCs w:val="24"/>
          <w:lang w:val="en-GB"/>
        </w:rPr>
        <w:t xml:space="preserve">, Janice </w:t>
      </w:r>
      <w:proofErr w:type="spellStart"/>
      <w:r w:rsidRPr="004F73C6">
        <w:rPr>
          <w:rFonts w:ascii="Arial" w:hAnsi="Arial" w:cs="Arial"/>
          <w:b/>
          <w:color w:val="002060"/>
          <w:sz w:val="24"/>
          <w:szCs w:val="24"/>
          <w:lang w:val="en-GB"/>
        </w:rPr>
        <w:t>Reul</w:t>
      </w:r>
      <w:proofErr w:type="spellEnd"/>
      <w:r w:rsidR="004E52A3" w:rsidRPr="004F73C6">
        <w:rPr>
          <w:rStyle w:val="FootnoteReference"/>
          <w:rFonts w:ascii="Arial" w:hAnsi="Arial" w:cs="Arial"/>
          <w:b/>
          <w:color w:val="002060"/>
          <w:sz w:val="24"/>
          <w:szCs w:val="24"/>
          <w:lang w:val="en-GB"/>
        </w:rPr>
        <w:footnoteReference w:id="5"/>
      </w:r>
      <w:r w:rsidR="008E3414" w:rsidRPr="004F73C6">
        <w:rPr>
          <w:rFonts w:ascii="Arial" w:hAnsi="Arial" w:cs="Arial"/>
          <w:b/>
          <w:color w:val="002060"/>
          <w:sz w:val="24"/>
          <w:szCs w:val="24"/>
          <w:lang w:val="en-GB"/>
        </w:rPr>
        <w:t xml:space="preserve"> and</w:t>
      </w:r>
      <w:r w:rsidRPr="004F73C6">
        <w:rPr>
          <w:rFonts w:ascii="Arial" w:hAnsi="Arial" w:cs="Arial"/>
          <w:b/>
          <w:color w:val="002060"/>
          <w:sz w:val="24"/>
          <w:szCs w:val="24"/>
          <w:lang w:val="en-GB"/>
        </w:rPr>
        <w:t xml:space="preserve"> Alvaro Zimba</w:t>
      </w:r>
      <w:r w:rsidR="004E52A3" w:rsidRPr="004F73C6">
        <w:rPr>
          <w:rStyle w:val="FootnoteReference"/>
          <w:rFonts w:ascii="Arial" w:hAnsi="Arial" w:cs="Arial"/>
          <w:b/>
          <w:color w:val="002060"/>
          <w:sz w:val="24"/>
          <w:szCs w:val="24"/>
          <w:lang w:val="en-GB"/>
        </w:rPr>
        <w:footnoteReference w:id="6"/>
      </w:r>
    </w:p>
    <w:p w14:paraId="6A6EF495" w14:textId="77777777" w:rsidR="00AE510C" w:rsidRPr="004F73C6" w:rsidRDefault="00AE510C" w:rsidP="00A9128D">
      <w:pPr>
        <w:jc w:val="center"/>
        <w:rPr>
          <w:rFonts w:ascii="Arial" w:hAnsi="Arial" w:cs="Arial"/>
          <w:b/>
          <w:color w:val="002060"/>
          <w:sz w:val="24"/>
          <w:szCs w:val="24"/>
          <w:lang w:val="en-GB"/>
        </w:rPr>
      </w:pPr>
    </w:p>
    <w:p w14:paraId="037DE01E" w14:textId="3257B95D" w:rsidR="00AE510C" w:rsidRPr="004F73C6" w:rsidRDefault="00AE510C" w:rsidP="00A9128D">
      <w:pPr>
        <w:jc w:val="center"/>
        <w:rPr>
          <w:rFonts w:ascii="Arial" w:hAnsi="Arial" w:cs="Arial"/>
          <w:b/>
          <w:color w:val="002060"/>
          <w:sz w:val="24"/>
          <w:szCs w:val="24"/>
          <w:lang w:val="en-GB"/>
        </w:rPr>
      </w:pPr>
    </w:p>
    <w:p w14:paraId="2D2195AF" w14:textId="77777777" w:rsidR="00D4061D" w:rsidRPr="004F73C6" w:rsidRDefault="00D4061D" w:rsidP="008420C4">
      <w:pPr>
        <w:rPr>
          <w:rFonts w:ascii="Arial" w:hAnsi="Arial" w:cs="Arial"/>
          <w:lang w:val="en-GB"/>
        </w:rPr>
      </w:pPr>
      <w:bookmarkStart w:id="0" w:name="_Toc381960566"/>
    </w:p>
    <w:p w14:paraId="2B1116EC" w14:textId="77777777" w:rsidR="00170D80" w:rsidRPr="004F73C6" w:rsidRDefault="00170D80" w:rsidP="009B0B37">
      <w:pPr>
        <w:pStyle w:val="TOCHeading"/>
        <w:rPr>
          <w:rFonts w:ascii="Tahoma" w:hAnsi="Tahoma" w:cs="Tahoma"/>
          <w:color w:val="auto"/>
          <w:sz w:val="32"/>
          <w:lang w:val="en-GB"/>
        </w:rPr>
      </w:pPr>
      <w:bookmarkStart w:id="1" w:name="_Toc384075579"/>
    </w:p>
    <w:p w14:paraId="750272DE" w14:textId="77777777" w:rsidR="00B212FB" w:rsidRPr="004F73C6" w:rsidRDefault="009B0B37" w:rsidP="009B0B37">
      <w:pPr>
        <w:pStyle w:val="TOCHeading"/>
        <w:rPr>
          <w:rFonts w:ascii="Tahoma" w:hAnsi="Tahoma" w:cs="Tahoma"/>
          <w:color w:val="auto"/>
          <w:sz w:val="32"/>
          <w:lang w:val="en-GB"/>
        </w:rPr>
      </w:pPr>
      <w:r w:rsidRPr="004F73C6">
        <w:rPr>
          <w:rFonts w:ascii="Tahoma" w:hAnsi="Tahoma" w:cs="Tahoma"/>
          <w:color w:val="auto"/>
          <w:sz w:val="32"/>
          <w:lang w:val="en-GB"/>
        </w:rPr>
        <w:t>Table of Contents</w:t>
      </w:r>
      <w:r w:rsidR="00170B45" w:rsidRPr="004F73C6">
        <w:rPr>
          <w:rFonts w:ascii="Tahoma" w:hAnsi="Tahoma" w:cs="Tahoma"/>
          <w:color w:val="auto"/>
          <w:sz w:val="32"/>
          <w:lang w:val="en-GB"/>
        </w:rPr>
        <w:t xml:space="preserve"> </w:t>
      </w:r>
    </w:p>
    <w:p w14:paraId="6AFB257C" w14:textId="4CAA0752" w:rsidR="009B0B37" w:rsidRPr="004F73C6" w:rsidRDefault="00130E05" w:rsidP="009B0B37">
      <w:pPr>
        <w:pStyle w:val="TOCHeading"/>
        <w:rPr>
          <w:rFonts w:ascii="Tahoma" w:hAnsi="Tahoma" w:cs="Tahoma"/>
          <w:color w:val="auto"/>
          <w:sz w:val="26"/>
          <w:lang w:val="en-GB"/>
        </w:rPr>
      </w:pPr>
      <w:r w:rsidRPr="004F73C6">
        <w:rPr>
          <w:rFonts w:ascii="Tahoma" w:hAnsi="Tahoma" w:cs="Tahoma"/>
          <w:color w:val="auto"/>
          <w:sz w:val="26"/>
          <w:lang w:val="en-GB"/>
        </w:rPr>
        <w:t xml:space="preserve">Overview </w:t>
      </w:r>
      <w:r w:rsidR="008457F3" w:rsidRPr="004F73C6">
        <w:rPr>
          <w:rFonts w:ascii="Tahoma" w:hAnsi="Tahoma" w:cs="Tahoma"/>
          <w:color w:val="auto"/>
          <w:sz w:val="26"/>
          <w:lang w:val="en-GB"/>
        </w:rPr>
        <w:t>R</w:t>
      </w:r>
      <w:r w:rsidR="00170B45" w:rsidRPr="004F73C6">
        <w:rPr>
          <w:rFonts w:ascii="Tahoma" w:hAnsi="Tahoma" w:cs="Tahoma"/>
          <w:color w:val="auto"/>
          <w:sz w:val="26"/>
          <w:lang w:val="en-GB"/>
        </w:rPr>
        <w:t>eport</w:t>
      </w:r>
    </w:p>
    <w:p w14:paraId="11E04BE3" w14:textId="77777777" w:rsidR="00B212FB" w:rsidRPr="004F73C6" w:rsidRDefault="00B212FB" w:rsidP="00B212FB">
      <w:pPr>
        <w:rPr>
          <w:lang w:val="en-GB"/>
        </w:rPr>
      </w:pPr>
    </w:p>
    <w:sdt>
      <w:sdtPr>
        <w:rPr>
          <w:b/>
          <w:bCs/>
          <w:lang w:val="en-GB"/>
        </w:rPr>
        <w:id w:val="1635907672"/>
        <w:docPartObj>
          <w:docPartGallery w:val="Table of Contents"/>
          <w:docPartUnique/>
        </w:docPartObj>
      </w:sdtPr>
      <w:sdtEndPr>
        <w:rPr>
          <w:b w:val="0"/>
          <w:bCs w:val="0"/>
          <w:noProof/>
        </w:rPr>
      </w:sdtEndPr>
      <w:sdtContent>
        <w:p w14:paraId="2A52E747" w14:textId="77777777" w:rsidR="00053E72" w:rsidRPr="004F73C6" w:rsidRDefault="00D60EF8">
          <w:pPr>
            <w:pStyle w:val="TOC1"/>
            <w:rPr>
              <w:rFonts w:eastAsiaTheme="minorEastAsia"/>
              <w:noProof/>
              <w:sz w:val="22"/>
              <w:lang w:val="en-GB" w:eastAsia="en-GB"/>
            </w:rPr>
          </w:pPr>
          <w:r w:rsidRPr="004F73C6">
            <w:rPr>
              <w:lang w:val="en-GB"/>
            </w:rPr>
            <w:fldChar w:fldCharType="begin"/>
          </w:r>
          <w:r w:rsidRPr="004F73C6">
            <w:rPr>
              <w:lang w:val="en-GB"/>
            </w:rPr>
            <w:instrText xml:space="preserve"> TOC \o "1-3" \h \z \u </w:instrText>
          </w:r>
          <w:r w:rsidRPr="004F73C6">
            <w:rPr>
              <w:lang w:val="en-GB"/>
            </w:rPr>
            <w:fldChar w:fldCharType="separate"/>
          </w:r>
          <w:hyperlink w:anchor="_Toc402974747" w:history="1">
            <w:r w:rsidR="00053E72" w:rsidRPr="004F73C6">
              <w:rPr>
                <w:rStyle w:val="Hyperlink"/>
                <w:noProof/>
                <w:lang w:val="en-GB"/>
              </w:rPr>
              <w:t>Introduction</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_Toc402974747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3</w:t>
            </w:r>
            <w:r w:rsidR="00053E72" w:rsidRPr="004F73C6">
              <w:rPr>
                <w:noProof/>
                <w:webHidden/>
                <w:lang w:val="en-GB"/>
              </w:rPr>
              <w:fldChar w:fldCharType="end"/>
            </w:r>
          </w:hyperlink>
        </w:p>
        <w:p w14:paraId="497F456A" w14:textId="77777777" w:rsidR="00053E72" w:rsidRPr="004F73C6" w:rsidRDefault="00C14FA2">
          <w:pPr>
            <w:pStyle w:val="TOC1"/>
            <w:rPr>
              <w:rFonts w:eastAsiaTheme="minorEastAsia"/>
              <w:noProof/>
              <w:sz w:val="22"/>
              <w:lang w:val="en-GB" w:eastAsia="en-GB"/>
            </w:rPr>
          </w:pPr>
          <w:hyperlink w:anchor="_Toc402974748" w:history="1">
            <w:r w:rsidR="00053E72" w:rsidRPr="004F73C6">
              <w:rPr>
                <w:rStyle w:val="Hyperlink"/>
                <w:rFonts w:eastAsia="Calibri"/>
                <w:noProof/>
                <w:lang w:val="en-GB"/>
              </w:rPr>
              <w:t>Effectiveness</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_Toc402974748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4</w:t>
            </w:r>
            <w:r w:rsidR="00053E72" w:rsidRPr="004F73C6">
              <w:rPr>
                <w:noProof/>
                <w:webHidden/>
                <w:lang w:val="en-GB"/>
              </w:rPr>
              <w:fldChar w:fldCharType="end"/>
            </w:r>
          </w:hyperlink>
        </w:p>
        <w:p w14:paraId="3296DD4F" w14:textId="77777777" w:rsidR="00053E72" w:rsidRPr="004F73C6" w:rsidRDefault="00C14FA2">
          <w:pPr>
            <w:pStyle w:val="TOC1"/>
            <w:rPr>
              <w:rFonts w:eastAsiaTheme="minorEastAsia"/>
              <w:noProof/>
              <w:sz w:val="22"/>
              <w:lang w:val="en-GB" w:eastAsia="en-GB"/>
            </w:rPr>
          </w:pPr>
          <w:hyperlink w:anchor="_Toc402974749" w:history="1">
            <w:r w:rsidR="00053E72" w:rsidRPr="004F73C6">
              <w:rPr>
                <w:rStyle w:val="Hyperlink"/>
                <w:rFonts w:eastAsia="Calibri"/>
                <w:noProof/>
                <w:lang w:val="en-GB"/>
              </w:rPr>
              <w:t>Efficiency</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_Toc402974749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8</w:t>
            </w:r>
            <w:r w:rsidR="00053E72" w:rsidRPr="004F73C6">
              <w:rPr>
                <w:noProof/>
                <w:webHidden/>
                <w:lang w:val="en-GB"/>
              </w:rPr>
              <w:fldChar w:fldCharType="end"/>
            </w:r>
          </w:hyperlink>
        </w:p>
        <w:p w14:paraId="60B4E575" w14:textId="77777777" w:rsidR="00053E72" w:rsidRPr="004F73C6" w:rsidRDefault="00C14FA2">
          <w:pPr>
            <w:pStyle w:val="TOC1"/>
            <w:rPr>
              <w:rFonts w:eastAsiaTheme="minorEastAsia"/>
              <w:noProof/>
              <w:sz w:val="22"/>
              <w:lang w:val="en-GB" w:eastAsia="en-GB"/>
            </w:rPr>
          </w:pPr>
          <w:hyperlink w:anchor="_Toc402974750" w:history="1">
            <w:r w:rsidR="00053E72" w:rsidRPr="004F73C6">
              <w:rPr>
                <w:rStyle w:val="Hyperlink"/>
                <w:noProof/>
                <w:lang w:val="en-GB"/>
              </w:rPr>
              <w:t>Inclusion: gender and equity</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_Toc402974750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9</w:t>
            </w:r>
            <w:r w:rsidR="00053E72" w:rsidRPr="004F73C6">
              <w:rPr>
                <w:noProof/>
                <w:webHidden/>
                <w:lang w:val="en-GB"/>
              </w:rPr>
              <w:fldChar w:fldCharType="end"/>
            </w:r>
          </w:hyperlink>
        </w:p>
        <w:p w14:paraId="16D39778" w14:textId="77777777" w:rsidR="00053E72" w:rsidRPr="004F73C6" w:rsidRDefault="00C14FA2">
          <w:pPr>
            <w:pStyle w:val="TOC1"/>
            <w:rPr>
              <w:rFonts w:eastAsiaTheme="minorEastAsia"/>
              <w:noProof/>
              <w:sz w:val="22"/>
              <w:lang w:val="en-GB" w:eastAsia="en-GB"/>
            </w:rPr>
          </w:pPr>
          <w:hyperlink w:anchor="_Toc402974751" w:history="1">
            <w:r w:rsidR="00053E72" w:rsidRPr="004F73C6">
              <w:rPr>
                <w:rStyle w:val="Hyperlink"/>
                <w:rFonts w:eastAsia="Calibri"/>
                <w:noProof/>
                <w:lang w:val="en-GB"/>
              </w:rPr>
              <w:t>Monitoring and evaluation</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_Toc402974751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9</w:t>
            </w:r>
            <w:r w:rsidR="00053E72" w:rsidRPr="004F73C6">
              <w:rPr>
                <w:noProof/>
                <w:webHidden/>
                <w:lang w:val="en-GB"/>
              </w:rPr>
              <w:fldChar w:fldCharType="end"/>
            </w:r>
          </w:hyperlink>
        </w:p>
        <w:p w14:paraId="4E668187" w14:textId="77777777" w:rsidR="00053E72" w:rsidRPr="004F73C6" w:rsidRDefault="00C14FA2">
          <w:pPr>
            <w:pStyle w:val="TOC1"/>
            <w:rPr>
              <w:rFonts w:eastAsiaTheme="minorEastAsia"/>
              <w:noProof/>
              <w:sz w:val="22"/>
              <w:lang w:val="en-GB" w:eastAsia="en-GB"/>
            </w:rPr>
          </w:pPr>
          <w:hyperlink w:anchor="_Toc402974752" w:history="1">
            <w:r w:rsidR="00053E72" w:rsidRPr="004F73C6">
              <w:rPr>
                <w:rStyle w:val="Hyperlink"/>
                <w:rFonts w:eastAsia="Times New Roman"/>
                <w:noProof/>
                <w:lang w:val="en-GB"/>
              </w:rPr>
              <w:t>Internal co-ordination and communication</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_Toc402974752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11</w:t>
            </w:r>
            <w:r w:rsidR="00053E72" w:rsidRPr="004F73C6">
              <w:rPr>
                <w:noProof/>
                <w:webHidden/>
                <w:lang w:val="en-GB"/>
              </w:rPr>
              <w:fldChar w:fldCharType="end"/>
            </w:r>
          </w:hyperlink>
        </w:p>
        <w:p w14:paraId="4D83F4F4" w14:textId="77777777" w:rsidR="00053E72" w:rsidRPr="004F73C6" w:rsidRDefault="00C14FA2">
          <w:pPr>
            <w:pStyle w:val="TOC1"/>
            <w:rPr>
              <w:rFonts w:eastAsiaTheme="minorEastAsia"/>
              <w:noProof/>
              <w:sz w:val="22"/>
              <w:lang w:val="en-GB" w:eastAsia="en-GB"/>
            </w:rPr>
          </w:pPr>
          <w:hyperlink w:anchor="_Toc402974753" w:history="1">
            <w:r w:rsidR="00053E72" w:rsidRPr="004F73C6">
              <w:rPr>
                <w:rStyle w:val="Hyperlink"/>
                <w:rFonts w:eastAsia="Times New Roman"/>
                <w:noProof/>
                <w:lang w:val="en-GB"/>
              </w:rPr>
              <w:t>External co-ordination and linkage</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_Toc402974753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12</w:t>
            </w:r>
            <w:r w:rsidR="00053E72" w:rsidRPr="004F73C6">
              <w:rPr>
                <w:noProof/>
                <w:webHidden/>
                <w:lang w:val="en-GB"/>
              </w:rPr>
              <w:fldChar w:fldCharType="end"/>
            </w:r>
          </w:hyperlink>
        </w:p>
        <w:p w14:paraId="5A591778" w14:textId="77777777" w:rsidR="00053E72" w:rsidRPr="004F73C6" w:rsidRDefault="00C14FA2">
          <w:pPr>
            <w:pStyle w:val="TOC1"/>
            <w:rPr>
              <w:rFonts w:eastAsiaTheme="minorEastAsia"/>
              <w:noProof/>
              <w:sz w:val="22"/>
              <w:lang w:val="en-GB" w:eastAsia="en-GB"/>
            </w:rPr>
          </w:pPr>
          <w:hyperlink w:anchor="_Toc402974754" w:history="1">
            <w:r w:rsidR="00053E72" w:rsidRPr="004F73C6">
              <w:rPr>
                <w:rStyle w:val="Hyperlink"/>
                <w:noProof/>
                <w:lang w:val="en-GB"/>
              </w:rPr>
              <w:t>Sustainability</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_Toc402974754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12</w:t>
            </w:r>
            <w:r w:rsidR="00053E72" w:rsidRPr="004F73C6">
              <w:rPr>
                <w:noProof/>
                <w:webHidden/>
                <w:lang w:val="en-GB"/>
              </w:rPr>
              <w:fldChar w:fldCharType="end"/>
            </w:r>
          </w:hyperlink>
        </w:p>
        <w:p w14:paraId="26E646D7" w14:textId="77777777" w:rsidR="00053E72" w:rsidRPr="004F73C6" w:rsidRDefault="00C14FA2">
          <w:pPr>
            <w:pStyle w:val="TOC1"/>
            <w:rPr>
              <w:rFonts w:eastAsiaTheme="minorEastAsia"/>
              <w:noProof/>
              <w:sz w:val="22"/>
              <w:lang w:val="en-GB" w:eastAsia="en-GB"/>
            </w:rPr>
          </w:pPr>
          <w:hyperlink w:anchor="_Toc402974755" w:history="1">
            <w:r w:rsidR="00053E72" w:rsidRPr="004F73C6">
              <w:rPr>
                <w:rStyle w:val="Hyperlink"/>
                <w:noProof/>
                <w:lang w:val="en-GB"/>
              </w:rPr>
              <w:t>Key recommendations</w:t>
            </w:r>
            <w:r w:rsidR="00053E72" w:rsidRPr="004F73C6">
              <w:rPr>
                <w:noProof/>
                <w:webHidden/>
                <w:lang w:val="en-GB"/>
              </w:rPr>
              <w:tab/>
            </w:r>
            <w:r w:rsidR="00053E72" w:rsidRPr="004F73C6">
              <w:rPr>
                <w:noProof/>
                <w:webHidden/>
                <w:lang w:val="en-GB"/>
              </w:rPr>
              <w:fldChar w:fldCharType="begin"/>
            </w:r>
            <w:r w:rsidR="00053E72" w:rsidRPr="004F73C6">
              <w:rPr>
                <w:noProof/>
                <w:webHidden/>
                <w:lang w:val="en-GB"/>
              </w:rPr>
              <w:instrText xml:space="preserve"> PAGEREF _Toc402974755 \h </w:instrText>
            </w:r>
            <w:r w:rsidR="00053E72" w:rsidRPr="004F73C6">
              <w:rPr>
                <w:noProof/>
                <w:webHidden/>
                <w:lang w:val="en-GB"/>
              </w:rPr>
            </w:r>
            <w:r w:rsidR="00053E72" w:rsidRPr="004F73C6">
              <w:rPr>
                <w:noProof/>
                <w:webHidden/>
                <w:lang w:val="en-GB"/>
              </w:rPr>
              <w:fldChar w:fldCharType="separate"/>
            </w:r>
            <w:r w:rsidR="00053E72" w:rsidRPr="004F73C6">
              <w:rPr>
                <w:noProof/>
                <w:webHidden/>
                <w:lang w:val="en-GB"/>
              </w:rPr>
              <w:t>13</w:t>
            </w:r>
            <w:r w:rsidR="00053E72" w:rsidRPr="004F73C6">
              <w:rPr>
                <w:noProof/>
                <w:webHidden/>
                <w:lang w:val="en-GB"/>
              </w:rPr>
              <w:fldChar w:fldCharType="end"/>
            </w:r>
          </w:hyperlink>
        </w:p>
        <w:p w14:paraId="7C398627" w14:textId="77777777" w:rsidR="00170B45" w:rsidRPr="004F73C6" w:rsidRDefault="00D60EF8" w:rsidP="00170B45">
          <w:pPr>
            <w:rPr>
              <w:noProof/>
              <w:lang w:val="en-GB"/>
            </w:rPr>
          </w:pPr>
          <w:r w:rsidRPr="004F73C6">
            <w:rPr>
              <w:b/>
              <w:bCs/>
              <w:noProof/>
              <w:lang w:val="en-GB"/>
            </w:rPr>
            <w:fldChar w:fldCharType="end"/>
          </w:r>
        </w:p>
      </w:sdtContent>
    </w:sdt>
    <w:p w14:paraId="4D44FC58" w14:textId="5DCC94EE" w:rsidR="004E52A3" w:rsidRPr="004F73C6" w:rsidRDefault="00B212FB">
      <w:pPr>
        <w:rPr>
          <w:rFonts w:ascii="Tahoma" w:hAnsi="Tahoma" w:cs="Tahoma"/>
          <w:b/>
          <w:noProof/>
          <w:sz w:val="26"/>
          <w:szCs w:val="28"/>
          <w:lang w:val="en-GB"/>
        </w:rPr>
      </w:pPr>
      <w:r w:rsidRPr="004F73C6">
        <w:rPr>
          <w:rFonts w:ascii="Tahoma" w:hAnsi="Tahoma" w:cs="Tahoma"/>
          <w:b/>
          <w:noProof/>
          <w:sz w:val="26"/>
          <w:szCs w:val="28"/>
          <w:lang w:val="en-GB"/>
        </w:rPr>
        <w:t>C</w:t>
      </w:r>
      <w:r w:rsidR="004E52A3" w:rsidRPr="004F73C6">
        <w:rPr>
          <w:rFonts w:ascii="Tahoma" w:hAnsi="Tahoma" w:cs="Tahoma"/>
          <w:b/>
          <w:noProof/>
          <w:sz w:val="26"/>
          <w:szCs w:val="28"/>
          <w:lang w:val="en-GB"/>
        </w:rPr>
        <w:t>ountry-level Reports</w:t>
      </w:r>
    </w:p>
    <w:p w14:paraId="5238388E" w14:textId="5D03702D" w:rsidR="004E52A3" w:rsidRPr="004F73C6" w:rsidRDefault="00B212FB">
      <w:pPr>
        <w:rPr>
          <w:rFonts w:cs="Tahoma"/>
          <w:noProof/>
          <w:sz w:val="22"/>
          <w:szCs w:val="20"/>
          <w:lang w:val="en-GB"/>
        </w:rPr>
      </w:pPr>
      <w:r w:rsidRPr="004F73C6">
        <w:rPr>
          <w:rFonts w:cs="Tahoma"/>
          <w:noProof/>
          <w:sz w:val="22"/>
          <w:szCs w:val="20"/>
          <w:lang w:val="en-GB"/>
        </w:rPr>
        <w:t>I</w:t>
      </w:r>
      <w:r w:rsidR="00F46F02" w:rsidRPr="004F73C6">
        <w:rPr>
          <w:rFonts w:cs="Tahoma"/>
          <w:noProof/>
          <w:sz w:val="22"/>
          <w:szCs w:val="20"/>
          <w:lang w:val="en-GB"/>
        </w:rPr>
        <w:t xml:space="preserve">. </w:t>
      </w:r>
      <w:r w:rsidR="00C30693" w:rsidRPr="004F73C6">
        <w:rPr>
          <w:rFonts w:cs="Tahoma"/>
          <w:noProof/>
          <w:sz w:val="22"/>
          <w:szCs w:val="20"/>
          <w:lang w:val="en-GB"/>
        </w:rPr>
        <w:t>Mozambique</w:t>
      </w:r>
    </w:p>
    <w:p w14:paraId="51DE8F27" w14:textId="1ECEC22A" w:rsidR="004E52A3" w:rsidRPr="004F73C6" w:rsidRDefault="00B212FB">
      <w:pPr>
        <w:rPr>
          <w:rFonts w:cs="Tahoma"/>
          <w:noProof/>
          <w:sz w:val="22"/>
          <w:szCs w:val="20"/>
          <w:lang w:val="en-GB"/>
        </w:rPr>
      </w:pPr>
      <w:r w:rsidRPr="004F73C6">
        <w:rPr>
          <w:rFonts w:cs="Tahoma"/>
          <w:noProof/>
          <w:sz w:val="22"/>
          <w:szCs w:val="20"/>
          <w:lang w:val="en-GB"/>
        </w:rPr>
        <w:t>II</w:t>
      </w:r>
      <w:r w:rsidR="00F46F02" w:rsidRPr="004F73C6">
        <w:rPr>
          <w:rFonts w:cs="Tahoma"/>
          <w:noProof/>
          <w:sz w:val="22"/>
          <w:szCs w:val="20"/>
          <w:lang w:val="en-GB"/>
        </w:rPr>
        <w:t xml:space="preserve">. </w:t>
      </w:r>
      <w:r w:rsidR="00C30693" w:rsidRPr="004F73C6">
        <w:rPr>
          <w:rFonts w:cs="Tahoma"/>
          <w:noProof/>
          <w:sz w:val="22"/>
          <w:szCs w:val="20"/>
          <w:lang w:val="en-GB"/>
        </w:rPr>
        <w:t>Tanzania</w:t>
      </w:r>
    </w:p>
    <w:p w14:paraId="023E50C1" w14:textId="1672B229" w:rsidR="004E52A3" w:rsidRPr="004F73C6" w:rsidRDefault="00B212FB">
      <w:pPr>
        <w:rPr>
          <w:rFonts w:cs="Tahoma"/>
          <w:noProof/>
          <w:sz w:val="22"/>
          <w:szCs w:val="20"/>
          <w:lang w:val="en-GB"/>
        </w:rPr>
      </w:pPr>
      <w:r w:rsidRPr="004F73C6">
        <w:rPr>
          <w:rFonts w:cs="Tahoma"/>
          <w:noProof/>
          <w:sz w:val="22"/>
          <w:szCs w:val="20"/>
          <w:lang w:val="en-GB"/>
        </w:rPr>
        <w:t>III</w:t>
      </w:r>
      <w:r w:rsidR="00F46F02" w:rsidRPr="004F73C6">
        <w:rPr>
          <w:rFonts w:cs="Tahoma"/>
          <w:noProof/>
          <w:sz w:val="22"/>
          <w:szCs w:val="20"/>
          <w:lang w:val="en-GB"/>
        </w:rPr>
        <w:t xml:space="preserve">. </w:t>
      </w:r>
      <w:r w:rsidR="00C30693" w:rsidRPr="004F73C6">
        <w:rPr>
          <w:rFonts w:cs="Tahoma"/>
          <w:noProof/>
          <w:sz w:val="22"/>
          <w:szCs w:val="20"/>
          <w:lang w:val="en-GB"/>
        </w:rPr>
        <w:t>Uganda</w:t>
      </w:r>
    </w:p>
    <w:p w14:paraId="5CAA9F9A" w14:textId="514FB3FE" w:rsidR="004E52A3" w:rsidRPr="004F73C6" w:rsidRDefault="00B212FB">
      <w:pPr>
        <w:rPr>
          <w:rFonts w:cs="Tahoma"/>
          <w:noProof/>
          <w:sz w:val="22"/>
          <w:szCs w:val="20"/>
          <w:lang w:val="en-GB"/>
        </w:rPr>
      </w:pPr>
      <w:r w:rsidRPr="004F73C6">
        <w:rPr>
          <w:rFonts w:cs="Tahoma"/>
          <w:noProof/>
          <w:sz w:val="22"/>
          <w:szCs w:val="20"/>
          <w:lang w:val="en-GB"/>
        </w:rPr>
        <w:t>IV</w:t>
      </w:r>
      <w:r w:rsidR="00F46F02" w:rsidRPr="004F73C6">
        <w:rPr>
          <w:rFonts w:cs="Tahoma"/>
          <w:noProof/>
          <w:sz w:val="22"/>
          <w:szCs w:val="20"/>
          <w:lang w:val="en-GB"/>
        </w:rPr>
        <w:t xml:space="preserve">. </w:t>
      </w:r>
      <w:r w:rsidR="00C30693" w:rsidRPr="004F73C6">
        <w:rPr>
          <w:rFonts w:cs="Tahoma"/>
          <w:noProof/>
          <w:sz w:val="22"/>
          <w:szCs w:val="20"/>
          <w:lang w:val="en-GB"/>
        </w:rPr>
        <w:t>South Africa</w:t>
      </w:r>
    </w:p>
    <w:p w14:paraId="06424AEA" w14:textId="757BB47C" w:rsidR="00C94E4B" w:rsidRPr="004F73C6" w:rsidRDefault="00B212FB">
      <w:pPr>
        <w:rPr>
          <w:rFonts w:cs="Tahoma"/>
          <w:noProof/>
          <w:sz w:val="22"/>
          <w:szCs w:val="20"/>
          <w:lang w:val="en-GB"/>
        </w:rPr>
      </w:pPr>
      <w:r w:rsidRPr="004F73C6">
        <w:rPr>
          <w:rFonts w:cs="Tahoma"/>
          <w:noProof/>
          <w:sz w:val="22"/>
          <w:szCs w:val="20"/>
          <w:lang w:val="en-GB"/>
        </w:rPr>
        <w:t>V</w:t>
      </w:r>
      <w:r w:rsidR="00F46F02" w:rsidRPr="004F73C6">
        <w:rPr>
          <w:rFonts w:cs="Tahoma"/>
          <w:noProof/>
          <w:sz w:val="22"/>
          <w:szCs w:val="20"/>
          <w:lang w:val="en-GB"/>
        </w:rPr>
        <w:t xml:space="preserve">. </w:t>
      </w:r>
      <w:r w:rsidR="00C30693" w:rsidRPr="004F73C6">
        <w:rPr>
          <w:rFonts w:cs="Tahoma"/>
          <w:noProof/>
          <w:sz w:val="22"/>
          <w:szCs w:val="20"/>
          <w:lang w:val="en-GB"/>
        </w:rPr>
        <w:t>Ireland</w:t>
      </w:r>
    </w:p>
    <w:p w14:paraId="3840B552" w14:textId="77777777" w:rsidR="00C94E4B" w:rsidRPr="004F73C6" w:rsidRDefault="00C94E4B">
      <w:pPr>
        <w:rPr>
          <w:rFonts w:cs="Tahoma"/>
          <w:b/>
          <w:noProof/>
          <w:szCs w:val="20"/>
          <w:lang w:val="en-GB"/>
        </w:rPr>
      </w:pPr>
    </w:p>
    <w:p w14:paraId="222E7518" w14:textId="77777777" w:rsidR="00B80CAC" w:rsidRPr="004F73C6" w:rsidRDefault="00B80CAC" w:rsidP="00B80CAC">
      <w:pPr>
        <w:rPr>
          <w:rFonts w:ascii="Tahoma" w:hAnsi="Tahoma" w:cs="Tahoma"/>
          <w:b/>
          <w:noProof/>
          <w:sz w:val="26"/>
          <w:szCs w:val="28"/>
          <w:lang w:val="en-GB"/>
        </w:rPr>
      </w:pPr>
      <w:r w:rsidRPr="004F73C6">
        <w:rPr>
          <w:rFonts w:ascii="Tahoma" w:hAnsi="Tahoma" w:cs="Tahoma"/>
          <w:b/>
          <w:noProof/>
          <w:sz w:val="26"/>
          <w:szCs w:val="28"/>
          <w:lang w:val="en-GB"/>
        </w:rPr>
        <w:t>Annexes</w:t>
      </w:r>
    </w:p>
    <w:p w14:paraId="1ED494EC" w14:textId="5D909B99" w:rsidR="00B80CAC" w:rsidRPr="004F73C6" w:rsidRDefault="00B80CAC" w:rsidP="00B80CAC">
      <w:pPr>
        <w:pStyle w:val="TOC1"/>
        <w:rPr>
          <w:noProof/>
          <w:lang w:val="en-GB" w:eastAsia="en-GB"/>
        </w:rPr>
      </w:pPr>
      <w:r w:rsidRPr="004F73C6">
        <w:rPr>
          <w:noProof/>
          <w:lang w:val="en-GB" w:eastAsia="en-GB"/>
        </w:rPr>
        <w:t xml:space="preserve">Annex 1: Terms of </w:t>
      </w:r>
      <w:r w:rsidR="00661C37" w:rsidRPr="004F73C6">
        <w:rPr>
          <w:noProof/>
          <w:lang w:val="en-GB" w:eastAsia="en-GB"/>
        </w:rPr>
        <w:t>r</w:t>
      </w:r>
      <w:r w:rsidRPr="004F73C6">
        <w:rPr>
          <w:noProof/>
          <w:lang w:val="en-GB" w:eastAsia="en-GB"/>
        </w:rPr>
        <w:t>eference</w:t>
      </w:r>
    </w:p>
    <w:p w14:paraId="5C61E7CA" w14:textId="16306B18" w:rsidR="00B80CAC" w:rsidRPr="004F73C6" w:rsidRDefault="00B80CAC" w:rsidP="00B80CAC">
      <w:pPr>
        <w:pStyle w:val="TOC1"/>
        <w:rPr>
          <w:noProof/>
          <w:lang w:val="en-GB" w:eastAsia="en-GB"/>
        </w:rPr>
      </w:pPr>
      <w:r w:rsidRPr="004F73C6">
        <w:rPr>
          <w:noProof/>
          <w:lang w:val="en-GB" w:eastAsia="en-GB"/>
        </w:rPr>
        <w:t>Annex 2: Data collection tools</w:t>
      </w:r>
    </w:p>
    <w:p w14:paraId="33062A38" w14:textId="3C4451A9" w:rsidR="00B80CAC" w:rsidRPr="004F73C6" w:rsidRDefault="00B80CAC" w:rsidP="00B80CAC">
      <w:pPr>
        <w:pStyle w:val="TOC1"/>
        <w:rPr>
          <w:noProof/>
          <w:lang w:val="en-GB" w:eastAsia="en-GB"/>
        </w:rPr>
      </w:pPr>
      <w:r w:rsidRPr="004F73C6">
        <w:rPr>
          <w:noProof/>
          <w:lang w:val="en-GB" w:eastAsia="en-GB"/>
        </w:rPr>
        <w:t xml:space="preserve">   Key Informant Interview with Programme Manager</w:t>
      </w:r>
    </w:p>
    <w:p w14:paraId="0E8E6729" w14:textId="23FD9FDB" w:rsidR="00B80CAC" w:rsidRPr="004F73C6" w:rsidRDefault="00B80CAC" w:rsidP="00B80CAC">
      <w:pPr>
        <w:pStyle w:val="TOC1"/>
        <w:rPr>
          <w:noProof/>
          <w:lang w:val="en-GB" w:eastAsia="en-GB"/>
        </w:rPr>
      </w:pPr>
      <w:r w:rsidRPr="004F73C6">
        <w:rPr>
          <w:noProof/>
          <w:lang w:val="en-GB" w:eastAsia="en-GB"/>
        </w:rPr>
        <w:t xml:space="preserve">   Key Informant Interviews with HelpAge Partners/Affiliates</w:t>
      </w:r>
    </w:p>
    <w:p w14:paraId="081847F2" w14:textId="53EA57C5" w:rsidR="00B80CAC" w:rsidRPr="004F73C6" w:rsidRDefault="00B80CAC" w:rsidP="00B80CAC">
      <w:pPr>
        <w:pStyle w:val="TOC1"/>
        <w:rPr>
          <w:noProof/>
          <w:lang w:val="en-GB" w:eastAsia="en-GB"/>
        </w:rPr>
      </w:pPr>
      <w:r w:rsidRPr="004F73C6">
        <w:rPr>
          <w:noProof/>
          <w:lang w:val="en-GB" w:eastAsia="en-GB"/>
        </w:rPr>
        <w:t xml:space="preserve">   Focus group discussion with Older men and women</w:t>
      </w:r>
    </w:p>
    <w:p w14:paraId="0046D0CC" w14:textId="6035F7C8" w:rsidR="00B80CAC" w:rsidRPr="004F73C6" w:rsidRDefault="00B80CAC" w:rsidP="00B80CAC">
      <w:pPr>
        <w:pStyle w:val="TOC1"/>
        <w:rPr>
          <w:noProof/>
          <w:lang w:val="en-GB" w:eastAsia="en-GB"/>
        </w:rPr>
      </w:pPr>
      <w:r w:rsidRPr="004F73C6">
        <w:rPr>
          <w:noProof/>
          <w:lang w:val="en-GB" w:eastAsia="en-GB"/>
        </w:rPr>
        <w:t xml:space="preserve">   Focus Group Discussion with community monitors (OPAs/OCMs/OPMGs) </w:t>
      </w:r>
    </w:p>
    <w:p w14:paraId="743C7A3A" w14:textId="116F9DFC" w:rsidR="00B80CAC" w:rsidRPr="004F73C6" w:rsidRDefault="00B80CAC" w:rsidP="00B80CAC">
      <w:pPr>
        <w:pStyle w:val="TOC1"/>
        <w:rPr>
          <w:noProof/>
          <w:lang w:val="en-GB" w:eastAsia="en-GB"/>
        </w:rPr>
      </w:pPr>
      <w:r w:rsidRPr="004F73C6">
        <w:rPr>
          <w:noProof/>
          <w:lang w:val="en-GB" w:eastAsia="en-GB"/>
        </w:rPr>
        <w:t xml:space="preserve">   Key Informant Interview guide with Government officials</w:t>
      </w:r>
    </w:p>
    <w:p w14:paraId="5A3C5425" w14:textId="77777777" w:rsidR="005D6A1F" w:rsidRPr="004F73C6" w:rsidRDefault="005D6A1F" w:rsidP="005D6A1F">
      <w:pPr>
        <w:rPr>
          <w:lang w:val="en-GB" w:eastAsia="en-GB"/>
        </w:rPr>
      </w:pPr>
    </w:p>
    <w:p w14:paraId="172E1B28" w14:textId="77777777" w:rsidR="000F22A9" w:rsidRPr="004F73C6" w:rsidRDefault="000F22A9" w:rsidP="005D6A1F">
      <w:pPr>
        <w:rPr>
          <w:lang w:val="en-GB" w:eastAsia="en-GB"/>
        </w:rPr>
      </w:pPr>
    </w:p>
    <w:p w14:paraId="19C1F743" w14:textId="77777777" w:rsidR="000F22A9" w:rsidRPr="004F73C6" w:rsidRDefault="000F22A9" w:rsidP="005D6A1F">
      <w:pPr>
        <w:rPr>
          <w:lang w:val="en-GB" w:eastAsia="en-GB"/>
        </w:rPr>
      </w:pPr>
    </w:p>
    <w:p w14:paraId="0D10AEEF" w14:textId="77777777" w:rsidR="00E96D3F" w:rsidRPr="004F73C6" w:rsidRDefault="00E96D3F" w:rsidP="005D6A1F">
      <w:pPr>
        <w:rPr>
          <w:lang w:val="en-GB" w:eastAsia="en-GB"/>
        </w:rPr>
      </w:pPr>
    </w:p>
    <w:p w14:paraId="6DB5194C" w14:textId="4AC432BF" w:rsidR="00EE626B" w:rsidRPr="004F73C6" w:rsidRDefault="00C94E4B" w:rsidP="00B80CAC">
      <w:pPr>
        <w:pStyle w:val="TOCHeading"/>
        <w:rPr>
          <w:rFonts w:ascii="Tahoma" w:hAnsi="Tahoma" w:cs="Tahoma"/>
          <w:color w:val="auto"/>
          <w:sz w:val="26"/>
          <w:lang w:val="en-GB"/>
        </w:rPr>
      </w:pPr>
      <w:r w:rsidRPr="004F73C6">
        <w:rPr>
          <w:rFonts w:ascii="Tahoma" w:hAnsi="Tahoma" w:cs="Tahoma"/>
          <w:color w:val="auto"/>
          <w:sz w:val="26"/>
          <w:lang w:val="en-GB"/>
        </w:rPr>
        <w:t>Acknowledgements</w:t>
      </w:r>
    </w:p>
    <w:p w14:paraId="61BDD5E9" w14:textId="07BA5B68" w:rsidR="00C57ADD" w:rsidRPr="004F73C6" w:rsidRDefault="00DB524A" w:rsidP="00B80CAC">
      <w:pPr>
        <w:jc w:val="both"/>
        <w:rPr>
          <w:rFonts w:asciiTheme="majorHAnsi" w:eastAsiaTheme="majorEastAsia" w:hAnsiTheme="majorHAnsi" w:cstheme="majorBidi"/>
          <w:b/>
          <w:bCs/>
          <w:color w:val="365F91" w:themeColor="accent1" w:themeShade="BF"/>
          <w:sz w:val="28"/>
          <w:szCs w:val="28"/>
          <w:lang w:val="en-GB"/>
        </w:rPr>
      </w:pPr>
      <w:r w:rsidRPr="004F73C6">
        <w:rPr>
          <w:lang w:val="en-GB"/>
        </w:rPr>
        <w:t xml:space="preserve">This review </w:t>
      </w:r>
      <w:r w:rsidR="00E96D3F" w:rsidRPr="004F73C6">
        <w:rPr>
          <w:lang w:val="en-GB"/>
        </w:rPr>
        <w:t xml:space="preserve">would not have been possible without the </w:t>
      </w:r>
      <w:r w:rsidR="0050257C" w:rsidRPr="004F73C6">
        <w:rPr>
          <w:lang w:val="en-GB"/>
        </w:rPr>
        <w:t xml:space="preserve">high level of </w:t>
      </w:r>
      <w:r w:rsidR="00EC0F27" w:rsidRPr="004F73C6">
        <w:rPr>
          <w:lang w:val="en-GB"/>
        </w:rPr>
        <w:t xml:space="preserve">commitment </w:t>
      </w:r>
      <w:r w:rsidR="00E96D3F" w:rsidRPr="004F73C6">
        <w:rPr>
          <w:lang w:val="en-GB"/>
        </w:rPr>
        <w:t xml:space="preserve">of </w:t>
      </w:r>
      <w:r w:rsidR="00EC0F27" w:rsidRPr="004F73C6">
        <w:rPr>
          <w:lang w:val="en-GB"/>
        </w:rPr>
        <w:t>HelpAge</w:t>
      </w:r>
      <w:r w:rsidR="00E96D3F" w:rsidRPr="004F73C6">
        <w:rPr>
          <w:lang w:val="en-GB"/>
        </w:rPr>
        <w:t xml:space="preserve"> staff </w:t>
      </w:r>
      <w:r w:rsidR="00170D80" w:rsidRPr="004F73C6">
        <w:rPr>
          <w:lang w:val="en-GB"/>
        </w:rPr>
        <w:t xml:space="preserve">who undertook </w:t>
      </w:r>
      <w:r w:rsidR="00E96D3F" w:rsidRPr="004F73C6">
        <w:rPr>
          <w:lang w:val="en-GB"/>
        </w:rPr>
        <w:t>the country level reviews and developed draft reports</w:t>
      </w:r>
      <w:r w:rsidR="008F6A25" w:rsidRPr="004F73C6">
        <w:rPr>
          <w:lang w:val="en-GB"/>
        </w:rPr>
        <w:t>;</w:t>
      </w:r>
      <w:r w:rsidR="00B80CAC" w:rsidRPr="004F73C6">
        <w:rPr>
          <w:lang w:val="en-GB"/>
        </w:rPr>
        <w:t xml:space="preserve"> </w:t>
      </w:r>
      <w:r w:rsidR="00E96D3F" w:rsidRPr="004F73C6">
        <w:rPr>
          <w:lang w:val="en-GB"/>
        </w:rPr>
        <w:t xml:space="preserve">and </w:t>
      </w:r>
      <w:r w:rsidR="0050257C" w:rsidRPr="004F73C6">
        <w:rPr>
          <w:lang w:val="en-GB"/>
        </w:rPr>
        <w:t xml:space="preserve">the </w:t>
      </w:r>
      <w:r w:rsidR="00B80CAC" w:rsidRPr="004F73C6">
        <w:rPr>
          <w:lang w:val="en-GB"/>
        </w:rPr>
        <w:t>CSO</w:t>
      </w:r>
      <w:r w:rsidR="00EC0F27" w:rsidRPr="004F73C6">
        <w:rPr>
          <w:lang w:val="en-GB"/>
        </w:rPr>
        <w:t xml:space="preserve"> partners</w:t>
      </w:r>
      <w:r w:rsidR="009647AB" w:rsidRPr="004F73C6">
        <w:rPr>
          <w:lang w:val="en-GB"/>
        </w:rPr>
        <w:t xml:space="preserve">, government </w:t>
      </w:r>
      <w:r w:rsidR="00EC0F27" w:rsidRPr="004F73C6">
        <w:rPr>
          <w:lang w:val="en-GB"/>
        </w:rPr>
        <w:t xml:space="preserve">and </w:t>
      </w:r>
      <w:r w:rsidR="00E96D3F" w:rsidRPr="004F73C6">
        <w:rPr>
          <w:lang w:val="en-GB"/>
        </w:rPr>
        <w:t xml:space="preserve">members of Older People’s Organisations who facilitated </w:t>
      </w:r>
      <w:r w:rsidR="0050257C" w:rsidRPr="004F73C6">
        <w:rPr>
          <w:lang w:val="en-GB"/>
        </w:rPr>
        <w:t xml:space="preserve">country </w:t>
      </w:r>
      <w:r w:rsidR="00E96D3F" w:rsidRPr="004F73C6">
        <w:rPr>
          <w:lang w:val="en-GB"/>
        </w:rPr>
        <w:t xml:space="preserve">visits. The </w:t>
      </w:r>
      <w:r w:rsidR="00B80CAC" w:rsidRPr="004F73C6">
        <w:rPr>
          <w:lang w:val="en-GB"/>
        </w:rPr>
        <w:t>methodology</w:t>
      </w:r>
      <w:r w:rsidR="00E96D3F" w:rsidRPr="004F73C6">
        <w:rPr>
          <w:lang w:val="en-GB"/>
        </w:rPr>
        <w:t xml:space="preserve"> was developed by the HelpAge M&amp;E team. </w:t>
      </w:r>
      <w:r w:rsidR="00314678" w:rsidRPr="004F73C6">
        <w:rPr>
          <w:lang w:val="en-GB"/>
        </w:rPr>
        <w:t>The r</w:t>
      </w:r>
      <w:r w:rsidR="005D6A1F" w:rsidRPr="004F73C6">
        <w:rPr>
          <w:lang w:val="en-GB"/>
        </w:rPr>
        <w:t xml:space="preserve">eview team members </w:t>
      </w:r>
      <w:r w:rsidR="00314678" w:rsidRPr="004F73C6">
        <w:rPr>
          <w:lang w:val="en-GB"/>
        </w:rPr>
        <w:t xml:space="preserve">and authors </w:t>
      </w:r>
      <w:r w:rsidR="005D6A1F" w:rsidRPr="004F73C6">
        <w:rPr>
          <w:lang w:val="en-GB"/>
        </w:rPr>
        <w:t xml:space="preserve">are identified in individual reports. </w:t>
      </w:r>
      <w:r w:rsidR="00C41F7B" w:rsidRPr="004F73C6">
        <w:rPr>
          <w:lang w:val="en-GB"/>
        </w:rPr>
        <w:t>Any errors are the responsibility of the HelpAge M&amp;E Adviser (London)</w:t>
      </w:r>
      <w:r w:rsidR="006320D7" w:rsidRPr="004F73C6">
        <w:rPr>
          <w:lang w:val="en-GB"/>
        </w:rPr>
        <w:t>.</w:t>
      </w:r>
      <w:r w:rsidR="00C57ADD" w:rsidRPr="004F73C6">
        <w:rPr>
          <w:lang w:val="en-GB"/>
        </w:rPr>
        <w:br w:type="page"/>
      </w:r>
    </w:p>
    <w:p w14:paraId="36E8183D" w14:textId="758828A7" w:rsidR="008E3B8D" w:rsidRPr="004F73C6" w:rsidRDefault="00447818" w:rsidP="00610869">
      <w:pPr>
        <w:pStyle w:val="Heading1"/>
        <w:rPr>
          <w:lang w:val="en-GB"/>
        </w:rPr>
      </w:pPr>
      <w:bookmarkStart w:id="2" w:name="_Toc402974747"/>
      <w:r w:rsidRPr="004F73C6">
        <w:rPr>
          <w:lang w:val="en-GB"/>
        </w:rPr>
        <w:lastRenderedPageBreak/>
        <w:t>Introduction</w:t>
      </w:r>
      <w:bookmarkEnd w:id="2"/>
    </w:p>
    <w:bookmarkEnd w:id="1"/>
    <w:p w14:paraId="3FAD2423" w14:textId="44F58146" w:rsidR="00447818" w:rsidRPr="004F73C6" w:rsidRDefault="008E3B8D" w:rsidP="00447818">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This report presents </w:t>
      </w:r>
      <w:r w:rsidR="00075608" w:rsidRPr="004F73C6">
        <w:rPr>
          <w:rFonts w:ascii="Arial" w:eastAsia="Calibri" w:hAnsi="Arial" w:cs="Arial"/>
          <w:sz w:val="22"/>
          <w:lang w:val="en-GB"/>
        </w:rPr>
        <w:t xml:space="preserve">the </w:t>
      </w:r>
      <w:r w:rsidR="00BF0EE1" w:rsidRPr="004F73C6">
        <w:rPr>
          <w:rFonts w:ascii="Arial" w:eastAsia="Calibri" w:hAnsi="Arial" w:cs="Arial"/>
          <w:sz w:val="22"/>
          <w:lang w:val="en-GB"/>
        </w:rPr>
        <w:t xml:space="preserve">summary </w:t>
      </w:r>
      <w:r w:rsidR="00075608" w:rsidRPr="004F73C6">
        <w:rPr>
          <w:rFonts w:ascii="Arial" w:eastAsia="Calibri" w:hAnsi="Arial" w:cs="Arial"/>
          <w:sz w:val="22"/>
          <w:lang w:val="en-GB"/>
        </w:rPr>
        <w:t xml:space="preserve">findings of a </w:t>
      </w:r>
      <w:r w:rsidRPr="004F73C6">
        <w:rPr>
          <w:rFonts w:ascii="Arial" w:eastAsia="Calibri" w:hAnsi="Arial" w:cs="Arial"/>
          <w:sz w:val="22"/>
          <w:lang w:val="en-GB"/>
        </w:rPr>
        <w:t>mid</w:t>
      </w:r>
      <w:r w:rsidR="001B1F5E" w:rsidRPr="004F73C6">
        <w:rPr>
          <w:rFonts w:ascii="Arial" w:eastAsia="Calibri" w:hAnsi="Arial" w:cs="Arial"/>
          <w:sz w:val="22"/>
          <w:lang w:val="en-GB"/>
        </w:rPr>
        <w:t>-</w:t>
      </w:r>
      <w:r w:rsidRPr="004F73C6">
        <w:rPr>
          <w:rFonts w:ascii="Arial" w:eastAsia="Calibri" w:hAnsi="Arial" w:cs="Arial"/>
          <w:sz w:val="22"/>
          <w:lang w:val="en-GB"/>
        </w:rPr>
        <w:t xml:space="preserve">term </w:t>
      </w:r>
      <w:r w:rsidR="00075608" w:rsidRPr="004F73C6">
        <w:rPr>
          <w:rFonts w:ascii="Arial" w:eastAsia="Calibri" w:hAnsi="Arial" w:cs="Arial"/>
          <w:sz w:val="22"/>
          <w:lang w:val="en-GB"/>
        </w:rPr>
        <w:t xml:space="preserve">review </w:t>
      </w:r>
      <w:r w:rsidRPr="004F73C6">
        <w:rPr>
          <w:rFonts w:ascii="Arial" w:eastAsia="Calibri" w:hAnsi="Arial" w:cs="Arial"/>
          <w:sz w:val="22"/>
          <w:lang w:val="en-GB"/>
        </w:rPr>
        <w:t xml:space="preserve">of </w:t>
      </w:r>
      <w:r w:rsidR="00447818" w:rsidRPr="004F73C6">
        <w:rPr>
          <w:rFonts w:ascii="Arial" w:eastAsia="Calibri" w:hAnsi="Arial" w:cs="Arial"/>
          <w:sz w:val="22"/>
          <w:lang w:val="en-GB"/>
        </w:rPr>
        <w:t>a programme entitled ‘</w:t>
      </w:r>
      <w:r w:rsidRPr="004F73C6">
        <w:rPr>
          <w:rFonts w:ascii="Arial" w:eastAsia="Calibri" w:hAnsi="Arial" w:cs="Arial"/>
          <w:sz w:val="22"/>
          <w:lang w:val="en-GB"/>
        </w:rPr>
        <w:t xml:space="preserve">Accountability and Fulfilment for Older people in order </w:t>
      </w:r>
      <w:r w:rsidR="00447818" w:rsidRPr="004F73C6">
        <w:rPr>
          <w:rFonts w:ascii="Arial" w:eastAsia="Calibri" w:hAnsi="Arial" w:cs="Arial"/>
          <w:sz w:val="22"/>
          <w:lang w:val="en-GB"/>
        </w:rPr>
        <w:t>to Raise their Dignity (AFFORD)’. The AFFORD Programme was developed as a four-year multi-country initiative (1st January 2012 until 31st December 2015), and is</w:t>
      </w:r>
      <w:r w:rsidR="00CA2F12" w:rsidRPr="004F73C6">
        <w:rPr>
          <w:rFonts w:ascii="Arial" w:eastAsia="Calibri" w:hAnsi="Arial" w:cs="Arial"/>
          <w:sz w:val="22"/>
          <w:lang w:val="en-GB"/>
        </w:rPr>
        <w:t xml:space="preserve"> being</w:t>
      </w:r>
      <w:r w:rsidR="00447818" w:rsidRPr="004F73C6">
        <w:rPr>
          <w:rFonts w:ascii="Arial" w:eastAsia="Calibri" w:hAnsi="Arial" w:cs="Arial"/>
          <w:sz w:val="22"/>
          <w:lang w:val="en-GB"/>
        </w:rPr>
        <w:t xml:space="preserve"> implemented by HelpAge International with partners in </w:t>
      </w:r>
      <w:r w:rsidR="00C30693" w:rsidRPr="004F73C6">
        <w:rPr>
          <w:rFonts w:ascii="Arial" w:eastAsia="Calibri" w:hAnsi="Arial" w:cs="Arial"/>
          <w:i/>
          <w:sz w:val="22"/>
          <w:lang w:val="en-GB"/>
        </w:rPr>
        <w:t>South Africa</w:t>
      </w:r>
      <w:r w:rsidR="00447818" w:rsidRPr="004F73C6">
        <w:rPr>
          <w:rFonts w:ascii="Arial" w:eastAsia="Calibri" w:hAnsi="Arial" w:cs="Arial"/>
          <w:sz w:val="22"/>
          <w:lang w:val="en-GB"/>
        </w:rPr>
        <w:t xml:space="preserve">, </w:t>
      </w:r>
      <w:r w:rsidR="00C30693" w:rsidRPr="004F73C6">
        <w:rPr>
          <w:rFonts w:ascii="Arial" w:eastAsia="Calibri" w:hAnsi="Arial" w:cs="Arial"/>
          <w:i/>
          <w:sz w:val="22"/>
          <w:lang w:val="en-GB"/>
        </w:rPr>
        <w:t>Mozambique</w:t>
      </w:r>
      <w:r w:rsidR="00447818" w:rsidRPr="004F73C6">
        <w:rPr>
          <w:rFonts w:ascii="Arial" w:eastAsia="Calibri" w:hAnsi="Arial" w:cs="Arial"/>
          <w:sz w:val="22"/>
          <w:lang w:val="en-GB"/>
        </w:rPr>
        <w:t xml:space="preserve">, </w:t>
      </w:r>
      <w:r w:rsidR="00C30693" w:rsidRPr="004F73C6">
        <w:rPr>
          <w:rFonts w:ascii="Arial" w:eastAsia="Calibri" w:hAnsi="Arial" w:cs="Arial"/>
          <w:i/>
          <w:sz w:val="22"/>
          <w:lang w:val="en-GB"/>
        </w:rPr>
        <w:t>Tanzania</w:t>
      </w:r>
      <w:r w:rsidR="00447818" w:rsidRPr="004F73C6">
        <w:rPr>
          <w:rFonts w:ascii="Arial" w:eastAsia="Calibri" w:hAnsi="Arial" w:cs="Arial"/>
          <w:sz w:val="22"/>
          <w:lang w:val="en-GB"/>
        </w:rPr>
        <w:t xml:space="preserve">, </w:t>
      </w:r>
      <w:r w:rsidR="00C30693" w:rsidRPr="004F73C6">
        <w:rPr>
          <w:rFonts w:ascii="Arial" w:eastAsia="Calibri" w:hAnsi="Arial" w:cs="Arial"/>
          <w:i/>
          <w:sz w:val="22"/>
          <w:lang w:val="en-GB"/>
        </w:rPr>
        <w:t>Uganda</w:t>
      </w:r>
      <w:r w:rsidR="00447818" w:rsidRPr="004F73C6">
        <w:rPr>
          <w:rFonts w:ascii="Arial" w:eastAsia="Calibri" w:hAnsi="Arial" w:cs="Arial"/>
          <w:sz w:val="22"/>
          <w:lang w:val="en-GB"/>
        </w:rPr>
        <w:t xml:space="preserve"> and </w:t>
      </w:r>
      <w:r w:rsidR="00C30693" w:rsidRPr="004F73C6">
        <w:rPr>
          <w:rFonts w:ascii="Arial" w:eastAsia="Calibri" w:hAnsi="Arial" w:cs="Arial"/>
          <w:i/>
          <w:sz w:val="22"/>
          <w:lang w:val="en-GB"/>
        </w:rPr>
        <w:t>Ireland</w:t>
      </w:r>
      <w:r w:rsidR="00447818" w:rsidRPr="004F73C6">
        <w:rPr>
          <w:rFonts w:ascii="Arial" w:eastAsia="Calibri" w:hAnsi="Arial" w:cs="Arial"/>
          <w:sz w:val="22"/>
          <w:lang w:val="en-GB"/>
        </w:rPr>
        <w:t xml:space="preserve">. </w:t>
      </w:r>
      <w:r w:rsidR="0026135A" w:rsidRPr="004F73C6">
        <w:rPr>
          <w:rFonts w:ascii="Arial" w:eastAsia="Calibri" w:hAnsi="Arial" w:cs="Arial"/>
          <w:sz w:val="22"/>
          <w:lang w:val="en-GB"/>
        </w:rPr>
        <w:t>The</w:t>
      </w:r>
      <w:r w:rsidR="00CA2F12" w:rsidRPr="004F73C6">
        <w:rPr>
          <w:rFonts w:ascii="Arial" w:eastAsia="Calibri" w:hAnsi="Arial" w:cs="Arial"/>
          <w:sz w:val="22"/>
          <w:lang w:val="en-GB"/>
        </w:rPr>
        <w:t xml:space="preserve"> programme </w:t>
      </w:r>
      <w:r w:rsidR="00447818" w:rsidRPr="004F73C6">
        <w:rPr>
          <w:rFonts w:ascii="Arial" w:eastAsia="Calibri" w:hAnsi="Arial" w:cs="Arial"/>
          <w:sz w:val="22"/>
          <w:lang w:val="en-GB"/>
        </w:rPr>
        <w:t xml:space="preserve">is funded by Irish Aid, with co-funding from HelpAge International. </w:t>
      </w:r>
    </w:p>
    <w:p w14:paraId="1B68BA80" w14:textId="2D00FF40" w:rsidR="00447818" w:rsidRPr="004F73C6" w:rsidRDefault="00CA2F12" w:rsidP="00447818">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AFFORD </w:t>
      </w:r>
      <w:r w:rsidR="00447818" w:rsidRPr="004F73C6">
        <w:rPr>
          <w:rFonts w:ascii="Arial" w:eastAsia="Calibri" w:hAnsi="Arial" w:cs="Arial"/>
          <w:sz w:val="22"/>
          <w:lang w:val="en-GB"/>
        </w:rPr>
        <w:t xml:space="preserve">works to enable older men and women to benefit from the delivery of improved social protection/cash transfer and health and HIV/AIDS programmes in </w:t>
      </w:r>
      <w:r w:rsidR="00C30693" w:rsidRPr="004F73C6">
        <w:rPr>
          <w:rFonts w:ascii="Arial" w:eastAsia="Calibri" w:hAnsi="Arial" w:cs="Arial"/>
          <w:i/>
          <w:sz w:val="22"/>
          <w:lang w:val="en-GB"/>
        </w:rPr>
        <w:t>Mozambique</w:t>
      </w:r>
      <w:r w:rsidR="00447818" w:rsidRPr="004F73C6">
        <w:rPr>
          <w:rFonts w:ascii="Arial" w:eastAsia="Calibri" w:hAnsi="Arial" w:cs="Arial"/>
          <w:sz w:val="22"/>
          <w:lang w:val="en-GB"/>
        </w:rPr>
        <w:t xml:space="preserve">, </w:t>
      </w:r>
      <w:r w:rsidR="00C30693" w:rsidRPr="004F73C6">
        <w:rPr>
          <w:rFonts w:ascii="Arial" w:eastAsia="Calibri" w:hAnsi="Arial" w:cs="Arial"/>
          <w:i/>
          <w:sz w:val="22"/>
          <w:lang w:val="en-GB"/>
        </w:rPr>
        <w:t>Tanzania</w:t>
      </w:r>
      <w:r w:rsidR="00447818" w:rsidRPr="004F73C6">
        <w:rPr>
          <w:rFonts w:ascii="Arial" w:eastAsia="Calibri" w:hAnsi="Arial" w:cs="Arial"/>
          <w:sz w:val="22"/>
          <w:lang w:val="en-GB"/>
        </w:rPr>
        <w:t xml:space="preserve">, </w:t>
      </w:r>
      <w:r w:rsidR="00C30693" w:rsidRPr="004F73C6">
        <w:rPr>
          <w:rFonts w:ascii="Arial" w:eastAsia="Calibri" w:hAnsi="Arial" w:cs="Arial"/>
          <w:i/>
          <w:sz w:val="22"/>
          <w:lang w:val="en-GB"/>
        </w:rPr>
        <w:t>Uganda</w:t>
      </w:r>
      <w:r w:rsidR="00447818" w:rsidRPr="004F73C6">
        <w:rPr>
          <w:rFonts w:ascii="Arial" w:eastAsia="Calibri" w:hAnsi="Arial" w:cs="Arial"/>
          <w:sz w:val="22"/>
          <w:lang w:val="en-GB"/>
        </w:rPr>
        <w:t xml:space="preserve"> and </w:t>
      </w:r>
      <w:r w:rsidR="00C30693" w:rsidRPr="004F73C6">
        <w:rPr>
          <w:rFonts w:ascii="Arial" w:eastAsia="Calibri" w:hAnsi="Arial" w:cs="Arial"/>
          <w:i/>
          <w:sz w:val="22"/>
          <w:lang w:val="en-GB"/>
        </w:rPr>
        <w:t>South Africa</w:t>
      </w:r>
      <w:r w:rsidR="00447818" w:rsidRPr="004F73C6">
        <w:rPr>
          <w:rFonts w:ascii="Arial" w:eastAsia="Calibri" w:hAnsi="Arial" w:cs="Arial"/>
          <w:sz w:val="22"/>
          <w:lang w:val="en-GB"/>
        </w:rPr>
        <w:t xml:space="preserve">. It aims to bring tangible benefits to vulnerable older men and women and their families/dependents, and </w:t>
      </w:r>
      <w:r w:rsidR="00BF0EE1" w:rsidRPr="004F73C6">
        <w:rPr>
          <w:rFonts w:ascii="Arial" w:eastAsia="Calibri" w:hAnsi="Arial" w:cs="Arial"/>
          <w:sz w:val="22"/>
          <w:lang w:val="en-GB"/>
        </w:rPr>
        <w:t xml:space="preserve">to </w:t>
      </w:r>
      <w:r w:rsidR="00447818" w:rsidRPr="004F73C6">
        <w:rPr>
          <w:rFonts w:ascii="Arial" w:eastAsia="Calibri" w:hAnsi="Arial" w:cs="Arial"/>
          <w:sz w:val="22"/>
          <w:lang w:val="en-GB"/>
        </w:rPr>
        <w:t xml:space="preserve">generate practical examples and evidence to support a broader programme of policy and advocacy activities at local, national and international levels. The programme also includes public awareness and development education in </w:t>
      </w:r>
      <w:r w:rsidR="00C30693" w:rsidRPr="004F73C6">
        <w:rPr>
          <w:rFonts w:ascii="Arial" w:eastAsia="Calibri" w:hAnsi="Arial" w:cs="Arial"/>
          <w:i/>
          <w:sz w:val="22"/>
          <w:lang w:val="en-GB"/>
        </w:rPr>
        <w:t>Ireland</w:t>
      </w:r>
      <w:r w:rsidR="00447818" w:rsidRPr="004F73C6">
        <w:rPr>
          <w:rFonts w:ascii="Arial" w:eastAsia="Calibri" w:hAnsi="Arial" w:cs="Arial"/>
          <w:sz w:val="22"/>
          <w:lang w:val="en-GB"/>
        </w:rPr>
        <w:t xml:space="preserve"> to increase understanding and support of Ageing and development issues. </w:t>
      </w:r>
    </w:p>
    <w:p w14:paraId="7BD3AECD" w14:textId="53A298C0" w:rsidR="00BF0EE1" w:rsidRPr="004F73C6" w:rsidRDefault="006D598E" w:rsidP="00BF0EE1">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HelpAge undertook </w:t>
      </w:r>
      <w:r w:rsidR="00CA2F12" w:rsidRPr="004F73C6">
        <w:rPr>
          <w:rFonts w:ascii="Arial" w:eastAsia="Calibri" w:hAnsi="Arial" w:cs="Arial"/>
          <w:sz w:val="22"/>
          <w:lang w:val="en-GB"/>
        </w:rPr>
        <w:t xml:space="preserve">this </w:t>
      </w:r>
      <w:r w:rsidRPr="004F73C6">
        <w:rPr>
          <w:rFonts w:ascii="Arial" w:eastAsia="Calibri" w:hAnsi="Arial" w:cs="Arial"/>
          <w:sz w:val="22"/>
          <w:lang w:val="en-GB"/>
        </w:rPr>
        <w:t xml:space="preserve">review </w:t>
      </w:r>
      <w:r w:rsidR="00BF0EE1" w:rsidRPr="004F73C6">
        <w:rPr>
          <w:rFonts w:ascii="Arial" w:eastAsia="Calibri" w:hAnsi="Arial" w:cs="Arial"/>
          <w:sz w:val="22"/>
          <w:lang w:val="en-GB"/>
        </w:rPr>
        <w:t xml:space="preserve">of the AFFORD programme in April and May 2014 to assess progress at the mid-point of implementation </w:t>
      </w:r>
      <w:r w:rsidR="00924C0B" w:rsidRPr="004F73C6">
        <w:rPr>
          <w:rFonts w:ascii="Arial" w:eastAsia="Calibri" w:hAnsi="Arial" w:cs="Arial"/>
          <w:sz w:val="22"/>
          <w:lang w:val="en-GB"/>
        </w:rPr>
        <w:t xml:space="preserve">for AFFORD activities in each country </w:t>
      </w:r>
      <w:r w:rsidR="00BF0EE1" w:rsidRPr="004F73C6">
        <w:rPr>
          <w:rFonts w:ascii="Arial" w:eastAsia="Calibri" w:hAnsi="Arial" w:cs="Arial"/>
          <w:sz w:val="22"/>
          <w:lang w:val="en-GB"/>
        </w:rPr>
        <w:t xml:space="preserve">and to propose amendments where necessary to support effective and sustainable </w:t>
      </w:r>
      <w:r w:rsidR="00CC6D22" w:rsidRPr="004F73C6">
        <w:rPr>
          <w:rFonts w:ascii="Arial" w:eastAsia="Calibri" w:hAnsi="Arial" w:cs="Arial"/>
          <w:sz w:val="22"/>
          <w:lang w:val="en-GB"/>
        </w:rPr>
        <w:t>implementation for the remaining period</w:t>
      </w:r>
      <w:r w:rsidR="00BF0EE1" w:rsidRPr="004F73C6">
        <w:rPr>
          <w:rFonts w:ascii="Arial" w:eastAsia="Calibri" w:hAnsi="Arial" w:cs="Arial"/>
          <w:sz w:val="22"/>
          <w:lang w:val="en-GB"/>
        </w:rPr>
        <w:t xml:space="preserve"> of </w:t>
      </w:r>
      <w:r w:rsidR="00CC6D22" w:rsidRPr="004F73C6">
        <w:rPr>
          <w:rFonts w:ascii="Arial" w:eastAsia="Calibri" w:hAnsi="Arial" w:cs="Arial"/>
          <w:sz w:val="22"/>
          <w:lang w:val="en-GB"/>
        </w:rPr>
        <w:t>the programme</w:t>
      </w:r>
      <w:r w:rsidR="00BF0EE1" w:rsidRPr="004F73C6">
        <w:rPr>
          <w:rFonts w:ascii="Arial" w:eastAsia="Calibri" w:hAnsi="Arial" w:cs="Arial"/>
          <w:sz w:val="22"/>
          <w:lang w:val="en-GB"/>
        </w:rPr>
        <w:t xml:space="preserve">. </w:t>
      </w:r>
    </w:p>
    <w:p w14:paraId="27436909" w14:textId="77777777" w:rsidR="00BF0EE1" w:rsidRPr="004F73C6" w:rsidRDefault="00BF0EE1" w:rsidP="00BF0EE1">
      <w:pPr>
        <w:tabs>
          <w:tab w:val="num" w:pos="540"/>
        </w:tabs>
        <w:spacing w:after="0" w:line="276" w:lineRule="auto"/>
        <w:jc w:val="both"/>
        <w:rPr>
          <w:rFonts w:ascii="Arial" w:hAnsi="Arial" w:cs="Arial"/>
          <w:sz w:val="22"/>
          <w:lang w:val="en-GB"/>
        </w:rPr>
      </w:pPr>
    </w:p>
    <w:p w14:paraId="4C50F5F8" w14:textId="43D48C7E" w:rsidR="00BF0EE1" w:rsidRPr="004F73C6" w:rsidRDefault="0063278B" w:rsidP="00BF0EE1">
      <w:pPr>
        <w:tabs>
          <w:tab w:val="num" w:pos="540"/>
        </w:tabs>
        <w:spacing w:after="0" w:line="276" w:lineRule="auto"/>
        <w:jc w:val="both"/>
        <w:rPr>
          <w:rFonts w:ascii="Arial" w:hAnsi="Arial" w:cs="Arial"/>
          <w:sz w:val="22"/>
          <w:lang w:val="en-GB"/>
        </w:rPr>
      </w:pPr>
      <w:r w:rsidRPr="004F73C6">
        <w:rPr>
          <w:rFonts w:ascii="Arial" w:hAnsi="Arial" w:cs="Arial"/>
          <w:sz w:val="22"/>
          <w:lang w:val="en-GB"/>
        </w:rPr>
        <w:t xml:space="preserve">The review assessed </w:t>
      </w:r>
      <w:r w:rsidR="00343D39" w:rsidRPr="004F73C6">
        <w:rPr>
          <w:rFonts w:ascii="Arial" w:hAnsi="Arial" w:cs="Arial"/>
          <w:sz w:val="22"/>
          <w:lang w:val="en-GB"/>
        </w:rPr>
        <w:t xml:space="preserve">the </w:t>
      </w:r>
      <w:r w:rsidR="00C11320" w:rsidRPr="004F73C6">
        <w:rPr>
          <w:rFonts w:ascii="Arial" w:hAnsi="Arial" w:cs="Arial"/>
          <w:sz w:val="22"/>
          <w:lang w:val="en-GB"/>
        </w:rPr>
        <w:t xml:space="preserve">AFFORD </w:t>
      </w:r>
      <w:r w:rsidRPr="004F73C6">
        <w:rPr>
          <w:rFonts w:ascii="Arial" w:hAnsi="Arial" w:cs="Arial"/>
          <w:sz w:val="22"/>
          <w:lang w:val="en-GB"/>
        </w:rPr>
        <w:t xml:space="preserve">programme </w:t>
      </w:r>
      <w:r w:rsidR="00343D39" w:rsidRPr="004F73C6">
        <w:rPr>
          <w:rFonts w:ascii="Arial" w:hAnsi="Arial" w:cs="Arial"/>
          <w:sz w:val="22"/>
          <w:lang w:val="en-GB"/>
        </w:rPr>
        <w:t xml:space="preserve">in each participating country </w:t>
      </w:r>
      <w:r w:rsidR="00785512" w:rsidRPr="004F73C6">
        <w:rPr>
          <w:rFonts w:ascii="Arial" w:hAnsi="Arial" w:cs="Arial"/>
          <w:sz w:val="22"/>
          <w:lang w:val="en-GB"/>
        </w:rPr>
        <w:t xml:space="preserve">according to </w:t>
      </w:r>
      <w:r w:rsidRPr="004F73C6">
        <w:rPr>
          <w:rFonts w:ascii="Arial" w:hAnsi="Arial" w:cs="Arial"/>
          <w:sz w:val="22"/>
          <w:lang w:val="en-GB"/>
        </w:rPr>
        <w:t>the following criteria</w:t>
      </w:r>
      <w:r w:rsidR="00BF0EE1" w:rsidRPr="004F73C6">
        <w:rPr>
          <w:rFonts w:ascii="Arial" w:hAnsi="Arial" w:cs="Arial"/>
          <w:sz w:val="22"/>
          <w:lang w:val="en-GB"/>
        </w:rPr>
        <w:t xml:space="preserve">: </w:t>
      </w:r>
    </w:p>
    <w:p w14:paraId="58F90D19" w14:textId="77777777" w:rsidR="00BF0EE1" w:rsidRPr="004F73C6" w:rsidRDefault="00BF0EE1"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Effectiveness</w:t>
      </w:r>
      <w:r w:rsidRPr="004F73C6">
        <w:rPr>
          <w:rFonts w:ascii="Arial" w:hAnsi="Arial" w:cs="Arial"/>
          <w:sz w:val="22"/>
          <w:lang w:val="en-GB"/>
        </w:rPr>
        <w:t xml:space="preserve">; whether the programme is on track towards realizing its objectives </w:t>
      </w:r>
    </w:p>
    <w:p w14:paraId="6F6B032F" w14:textId="77777777" w:rsidR="00443824" w:rsidRPr="004F73C6" w:rsidRDefault="00BF0EE1"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Efficiency</w:t>
      </w:r>
      <w:r w:rsidRPr="004F73C6">
        <w:rPr>
          <w:rFonts w:ascii="Arial" w:hAnsi="Arial" w:cs="Arial"/>
          <w:sz w:val="22"/>
          <w:lang w:val="en-GB"/>
        </w:rPr>
        <w:t>; the extent to which ways of working are supporting or hindering the delivery of the programme in terms of resources and time.</w:t>
      </w:r>
    </w:p>
    <w:p w14:paraId="495CCF0C" w14:textId="77777777" w:rsidR="00A20B7E" w:rsidRPr="004F73C6" w:rsidRDefault="00443824"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Inclusion</w:t>
      </w:r>
      <w:r w:rsidR="00A20B7E" w:rsidRPr="004F73C6">
        <w:rPr>
          <w:rFonts w:ascii="Arial" w:hAnsi="Arial" w:cs="Arial"/>
          <w:sz w:val="22"/>
          <w:lang w:val="en-GB"/>
        </w:rPr>
        <w:t>; the extent to which the programme takes into account gender and equity issues</w:t>
      </w:r>
    </w:p>
    <w:p w14:paraId="65786866" w14:textId="684865B9" w:rsidR="00BF0EE1" w:rsidRPr="004F73C6" w:rsidRDefault="00A20B7E"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Monitoring and Evaluation</w:t>
      </w:r>
      <w:r w:rsidRPr="004F73C6">
        <w:rPr>
          <w:rFonts w:ascii="Arial" w:hAnsi="Arial" w:cs="Arial"/>
          <w:sz w:val="22"/>
          <w:lang w:val="en-GB"/>
        </w:rPr>
        <w:t xml:space="preserve">: </w:t>
      </w:r>
      <w:r w:rsidRPr="004F73C6">
        <w:rPr>
          <w:rFonts w:ascii="Arial" w:eastAsia="Times New Roman" w:hAnsi="Arial" w:cs="Arial"/>
          <w:bCs/>
          <w:sz w:val="22"/>
          <w:lang w:val="en-GB"/>
        </w:rPr>
        <w:t xml:space="preserve">the </w:t>
      </w:r>
      <w:r w:rsidR="00B34733" w:rsidRPr="004F73C6">
        <w:rPr>
          <w:rFonts w:ascii="Arial" w:eastAsia="Times New Roman" w:hAnsi="Arial" w:cs="Arial"/>
          <w:bCs/>
          <w:sz w:val="22"/>
          <w:lang w:val="en-GB"/>
        </w:rPr>
        <w:t xml:space="preserve">utility of the </w:t>
      </w:r>
      <w:r w:rsidRPr="004F73C6">
        <w:rPr>
          <w:rFonts w:ascii="Arial" w:eastAsia="Times New Roman" w:hAnsi="Arial" w:cs="Arial"/>
          <w:bCs/>
          <w:sz w:val="22"/>
          <w:lang w:val="en-GB"/>
        </w:rPr>
        <w:t xml:space="preserve">results framework </w:t>
      </w:r>
      <w:r w:rsidR="00B34733" w:rsidRPr="004F73C6">
        <w:rPr>
          <w:rFonts w:ascii="Arial" w:eastAsia="Times New Roman" w:hAnsi="Arial" w:cs="Arial"/>
          <w:bCs/>
          <w:sz w:val="22"/>
          <w:lang w:val="en-GB"/>
        </w:rPr>
        <w:t xml:space="preserve">for </w:t>
      </w:r>
      <w:r w:rsidRPr="004F73C6">
        <w:rPr>
          <w:rFonts w:ascii="Arial" w:eastAsia="Times New Roman" w:hAnsi="Arial" w:cs="Arial"/>
          <w:bCs/>
          <w:sz w:val="22"/>
          <w:lang w:val="en-GB"/>
        </w:rPr>
        <w:t>programme management</w:t>
      </w:r>
      <w:r w:rsidR="00B34733" w:rsidRPr="004F73C6">
        <w:rPr>
          <w:rFonts w:ascii="Arial" w:eastAsia="Times New Roman" w:hAnsi="Arial" w:cs="Arial"/>
          <w:bCs/>
          <w:sz w:val="22"/>
          <w:lang w:val="en-GB"/>
        </w:rPr>
        <w:t>.</w:t>
      </w:r>
      <w:r w:rsidR="00443824" w:rsidRPr="004F73C6">
        <w:rPr>
          <w:rFonts w:ascii="Arial" w:hAnsi="Arial" w:cs="Arial"/>
          <w:sz w:val="22"/>
          <w:lang w:val="en-GB"/>
        </w:rPr>
        <w:t xml:space="preserve"> </w:t>
      </w:r>
      <w:r w:rsidR="00BF0EE1" w:rsidRPr="004F73C6">
        <w:rPr>
          <w:rFonts w:ascii="Arial" w:hAnsi="Arial" w:cs="Arial"/>
          <w:sz w:val="22"/>
          <w:lang w:val="en-GB"/>
        </w:rPr>
        <w:t xml:space="preserve"> </w:t>
      </w:r>
    </w:p>
    <w:p w14:paraId="5749F59B" w14:textId="4DF0ACE3" w:rsidR="00BF0EE1" w:rsidRPr="004F73C6" w:rsidRDefault="00EF7C3F"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 xml:space="preserve">Internal </w:t>
      </w:r>
      <w:r w:rsidR="0004113A" w:rsidRPr="004F73C6">
        <w:rPr>
          <w:rFonts w:ascii="Arial" w:hAnsi="Arial" w:cs="Arial"/>
          <w:b/>
          <w:sz w:val="22"/>
          <w:lang w:val="en-GB"/>
        </w:rPr>
        <w:t xml:space="preserve">Co-ordination and </w:t>
      </w:r>
      <w:r w:rsidRPr="004F73C6">
        <w:rPr>
          <w:rFonts w:ascii="Arial" w:hAnsi="Arial" w:cs="Arial"/>
          <w:b/>
          <w:sz w:val="22"/>
          <w:lang w:val="en-GB"/>
        </w:rPr>
        <w:t>Communication</w:t>
      </w:r>
      <w:r w:rsidR="00BF0EE1" w:rsidRPr="004F73C6">
        <w:rPr>
          <w:rFonts w:ascii="Arial" w:hAnsi="Arial" w:cs="Arial"/>
          <w:sz w:val="22"/>
          <w:lang w:val="en-GB"/>
        </w:rPr>
        <w:t xml:space="preserve">; the extent to which communication between offices and partners supports effective and efficient programme delivery. </w:t>
      </w:r>
    </w:p>
    <w:p w14:paraId="4B60325F" w14:textId="26776575" w:rsidR="00BF0EE1" w:rsidRPr="004F73C6" w:rsidRDefault="00EF7C3F"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 xml:space="preserve">External Co-ordination </w:t>
      </w:r>
      <w:r w:rsidR="00C02B1B" w:rsidRPr="004F73C6">
        <w:rPr>
          <w:rFonts w:ascii="Arial" w:hAnsi="Arial" w:cs="Arial"/>
          <w:b/>
          <w:sz w:val="22"/>
          <w:lang w:val="en-GB"/>
        </w:rPr>
        <w:t xml:space="preserve">and </w:t>
      </w:r>
      <w:r w:rsidR="00BF0EE1" w:rsidRPr="004F73C6">
        <w:rPr>
          <w:rFonts w:ascii="Arial" w:hAnsi="Arial" w:cs="Arial"/>
          <w:b/>
          <w:sz w:val="22"/>
          <w:lang w:val="en-GB"/>
        </w:rPr>
        <w:t>Linkages</w:t>
      </w:r>
      <w:r w:rsidR="00BF0EE1" w:rsidRPr="004F73C6">
        <w:rPr>
          <w:rFonts w:ascii="Arial" w:hAnsi="Arial" w:cs="Arial"/>
          <w:sz w:val="22"/>
          <w:lang w:val="en-GB"/>
        </w:rPr>
        <w:t>;  the extent to which the programme has formed synergies with national and regional structures</w:t>
      </w:r>
    </w:p>
    <w:p w14:paraId="4479320A" w14:textId="1CDDC650" w:rsidR="00BF0EE1" w:rsidRPr="004F73C6" w:rsidRDefault="00BF0EE1" w:rsidP="00EF6741">
      <w:pPr>
        <w:pStyle w:val="ListParagraph"/>
        <w:numPr>
          <w:ilvl w:val="0"/>
          <w:numId w:val="2"/>
        </w:numPr>
        <w:tabs>
          <w:tab w:val="num" w:pos="540"/>
        </w:tabs>
        <w:spacing w:after="0" w:line="276" w:lineRule="auto"/>
        <w:jc w:val="both"/>
        <w:rPr>
          <w:rFonts w:ascii="Arial" w:hAnsi="Arial" w:cs="Arial"/>
          <w:sz w:val="22"/>
          <w:lang w:val="en-GB"/>
        </w:rPr>
      </w:pPr>
      <w:r w:rsidRPr="004F73C6">
        <w:rPr>
          <w:rFonts w:ascii="Arial" w:hAnsi="Arial" w:cs="Arial"/>
          <w:b/>
          <w:sz w:val="22"/>
          <w:lang w:val="en-GB"/>
        </w:rPr>
        <w:t>Sustainability</w:t>
      </w:r>
      <w:r w:rsidRPr="004F73C6">
        <w:rPr>
          <w:rFonts w:ascii="Arial" w:hAnsi="Arial" w:cs="Arial"/>
          <w:sz w:val="22"/>
          <w:lang w:val="en-GB"/>
        </w:rPr>
        <w:t xml:space="preserve">; whether there are any indications of </w:t>
      </w:r>
      <w:r w:rsidR="00215579" w:rsidRPr="004F73C6">
        <w:rPr>
          <w:rFonts w:ascii="Arial" w:hAnsi="Arial" w:cs="Arial"/>
          <w:sz w:val="22"/>
          <w:lang w:val="en-GB"/>
        </w:rPr>
        <w:t xml:space="preserve">the </w:t>
      </w:r>
      <w:r w:rsidRPr="004F73C6">
        <w:rPr>
          <w:rFonts w:ascii="Arial" w:hAnsi="Arial" w:cs="Arial"/>
          <w:sz w:val="22"/>
          <w:lang w:val="en-GB"/>
        </w:rPr>
        <w:t>results to be sustaina</w:t>
      </w:r>
      <w:r w:rsidR="009660E2" w:rsidRPr="004F73C6">
        <w:rPr>
          <w:rFonts w:ascii="Arial" w:hAnsi="Arial" w:cs="Arial"/>
          <w:sz w:val="22"/>
          <w:lang w:val="en-GB"/>
        </w:rPr>
        <w:t xml:space="preserve">ble beyond programme’s lifetime; and </w:t>
      </w:r>
      <w:r w:rsidR="00BD374C" w:rsidRPr="004F73C6">
        <w:rPr>
          <w:rFonts w:ascii="Arial" w:hAnsi="Arial" w:cs="Arial"/>
          <w:sz w:val="22"/>
          <w:lang w:val="en-GB"/>
        </w:rPr>
        <w:t xml:space="preserve">whether </w:t>
      </w:r>
      <w:r w:rsidR="009660E2" w:rsidRPr="004F73C6">
        <w:rPr>
          <w:rFonts w:ascii="Arial" w:hAnsi="Arial" w:cs="Arial"/>
          <w:sz w:val="22"/>
          <w:lang w:val="en-GB"/>
        </w:rPr>
        <w:t xml:space="preserve">exit strategies </w:t>
      </w:r>
      <w:r w:rsidR="00BD374C" w:rsidRPr="004F73C6">
        <w:rPr>
          <w:rFonts w:ascii="Arial" w:hAnsi="Arial" w:cs="Arial"/>
          <w:sz w:val="22"/>
          <w:lang w:val="en-GB"/>
        </w:rPr>
        <w:t xml:space="preserve">have </w:t>
      </w:r>
      <w:r w:rsidR="00215579" w:rsidRPr="004F73C6">
        <w:rPr>
          <w:rFonts w:ascii="Arial" w:hAnsi="Arial" w:cs="Arial"/>
          <w:sz w:val="22"/>
          <w:lang w:val="en-GB"/>
        </w:rPr>
        <w:t>been developed.</w:t>
      </w:r>
    </w:p>
    <w:p w14:paraId="4DA1F584" w14:textId="77777777" w:rsidR="00BF0EE1" w:rsidRPr="004F73C6" w:rsidRDefault="00BF0EE1" w:rsidP="00BF0EE1">
      <w:pPr>
        <w:tabs>
          <w:tab w:val="num" w:pos="540"/>
        </w:tabs>
        <w:spacing w:after="0" w:line="276" w:lineRule="auto"/>
        <w:jc w:val="both"/>
        <w:rPr>
          <w:rFonts w:ascii="Arial" w:hAnsi="Arial" w:cs="Arial"/>
          <w:sz w:val="22"/>
          <w:lang w:val="en-GB"/>
        </w:rPr>
      </w:pPr>
    </w:p>
    <w:p w14:paraId="0734F4B0" w14:textId="1956500C" w:rsidR="00B028A7" w:rsidRPr="004F73C6" w:rsidRDefault="00F95879" w:rsidP="00986CAA">
      <w:pPr>
        <w:spacing w:line="276" w:lineRule="auto"/>
        <w:ind w:left="142"/>
        <w:jc w:val="both"/>
        <w:rPr>
          <w:rFonts w:ascii="Arial" w:hAnsi="Arial" w:cs="Arial"/>
          <w:sz w:val="22"/>
          <w:lang w:val="en-GB"/>
        </w:rPr>
      </w:pPr>
      <w:r w:rsidRPr="004F73C6">
        <w:rPr>
          <w:rFonts w:ascii="Arial" w:hAnsi="Arial" w:cs="Arial"/>
          <w:sz w:val="22"/>
          <w:lang w:val="en-GB"/>
        </w:rPr>
        <w:t xml:space="preserve">Programmes </w:t>
      </w:r>
      <w:r w:rsidR="00BF0EE1" w:rsidRPr="004F73C6">
        <w:rPr>
          <w:rFonts w:ascii="Arial" w:hAnsi="Arial" w:cs="Arial"/>
          <w:sz w:val="22"/>
          <w:lang w:val="en-GB"/>
        </w:rPr>
        <w:t xml:space="preserve">in </w:t>
      </w:r>
      <w:r w:rsidR="00C30693" w:rsidRPr="004F73C6">
        <w:rPr>
          <w:rFonts w:ascii="Arial" w:hAnsi="Arial" w:cs="Arial"/>
          <w:i/>
          <w:sz w:val="22"/>
          <w:lang w:val="en-GB"/>
        </w:rPr>
        <w:t>Mozambique</w:t>
      </w:r>
      <w:r w:rsidR="00816098" w:rsidRPr="004F73C6">
        <w:rPr>
          <w:rFonts w:ascii="Arial" w:hAnsi="Arial" w:cs="Arial"/>
          <w:sz w:val="22"/>
          <w:lang w:val="en-GB"/>
        </w:rPr>
        <w:t xml:space="preserve">, </w:t>
      </w:r>
      <w:r w:rsidR="00C30693" w:rsidRPr="004F73C6">
        <w:rPr>
          <w:rFonts w:ascii="Arial" w:hAnsi="Arial" w:cs="Arial"/>
          <w:i/>
          <w:sz w:val="22"/>
          <w:lang w:val="en-GB"/>
        </w:rPr>
        <w:t>Tanzania</w:t>
      </w:r>
      <w:r w:rsidR="00816098" w:rsidRPr="004F73C6">
        <w:rPr>
          <w:rFonts w:ascii="Arial" w:hAnsi="Arial" w:cs="Arial"/>
          <w:sz w:val="22"/>
          <w:lang w:val="en-GB"/>
        </w:rPr>
        <w:t xml:space="preserve">, </w:t>
      </w:r>
      <w:r w:rsidR="00C30693" w:rsidRPr="004F73C6">
        <w:rPr>
          <w:rFonts w:ascii="Arial" w:hAnsi="Arial" w:cs="Arial"/>
          <w:i/>
          <w:sz w:val="22"/>
          <w:lang w:val="en-GB"/>
        </w:rPr>
        <w:t>Uganda</w:t>
      </w:r>
      <w:r w:rsidR="00816098" w:rsidRPr="004F73C6">
        <w:rPr>
          <w:rFonts w:ascii="Arial" w:hAnsi="Arial" w:cs="Arial"/>
          <w:sz w:val="22"/>
          <w:lang w:val="en-GB"/>
        </w:rPr>
        <w:t xml:space="preserve">, </w:t>
      </w:r>
      <w:proofErr w:type="gramStart"/>
      <w:r w:rsidR="00C30693" w:rsidRPr="004F73C6">
        <w:rPr>
          <w:rFonts w:ascii="Arial" w:hAnsi="Arial" w:cs="Arial"/>
          <w:i/>
          <w:sz w:val="22"/>
          <w:lang w:val="en-GB"/>
        </w:rPr>
        <w:t>South</w:t>
      </w:r>
      <w:proofErr w:type="gramEnd"/>
      <w:r w:rsidR="00C30693" w:rsidRPr="004F73C6">
        <w:rPr>
          <w:rFonts w:ascii="Arial" w:hAnsi="Arial" w:cs="Arial"/>
          <w:i/>
          <w:sz w:val="22"/>
          <w:lang w:val="en-GB"/>
        </w:rPr>
        <w:t xml:space="preserve"> Africa</w:t>
      </w:r>
      <w:r w:rsidR="00816098" w:rsidRPr="004F73C6">
        <w:rPr>
          <w:rFonts w:ascii="Arial" w:hAnsi="Arial" w:cs="Arial"/>
          <w:sz w:val="22"/>
          <w:lang w:val="en-GB"/>
        </w:rPr>
        <w:t xml:space="preserve"> </w:t>
      </w:r>
      <w:r w:rsidR="009A542A" w:rsidRPr="004F73C6">
        <w:rPr>
          <w:rFonts w:ascii="Arial" w:hAnsi="Arial" w:cs="Arial"/>
          <w:sz w:val="22"/>
          <w:lang w:val="en-GB"/>
        </w:rPr>
        <w:t xml:space="preserve">contributing to AFFORD were </w:t>
      </w:r>
      <w:r w:rsidR="003254A3" w:rsidRPr="004F73C6">
        <w:rPr>
          <w:rFonts w:ascii="Arial" w:hAnsi="Arial" w:cs="Arial"/>
          <w:sz w:val="22"/>
          <w:lang w:val="en-GB"/>
        </w:rPr>
        <w:t xml:space="preserve">each </w:t>
      </w:r>
      <w:r w:rsidR="00BF0EE1" w:rsidRPr="004F73C6">
        <w:rPr>
          <w:rFonts w:ascii="Arial" w:hAnsi="Arial" w:cs="Arial"/>
          <w:sz w:val="22"/>
          <w:lang w:val="en-GB"/>
        </w:rPr>
        <w:t xml:space="preserve">visited by a team </w:t>
      </w:r>
      <w:r w:rsidR="00343D39" w:rsidRPr="004F73C6">
        <w:rPr>
          <w:rFonts w:ascii="Arial" w:hAnsi="Arial" w:cs="Arial"/>
          <w:sz w:val="22"/>
          <w:lang w:val="en-GB"/>
        </w:rPr>
        <w:t>consisting of</w:t>
      </w:r>
      <w:r w:rsidR="00BF0EE1" w:rsidRPr="004F73C6">
        <w:rPr>
          <w:rFonts w:ascii="Arial" w:hAnsi="Arial" w:cs="Arial"/>
          <w:sz w:val="22"/>
          <w:lang w:val="en-GB"/>
        </w:rPr>
        <w:t xml:space="preserve"> </w:t>
      </w:r>
      <w:r w:rsidR="00343D39" w:rsidRPr="004F73C6">
        <w:rPr>
          <w:rFonts w:ascii="Arial" w:hAnsi="Arial" w:cs="Arial"/>
          <w:sz w:val="22"/>
          <w:lang w:val="en-GB"/>
        </w:rPr>
        <w:t xml:space="preserve">a </w:t>
      </w:r>
      <w:r w:rsidR="00C81BB8" w:rsidRPr="004F73C6">
        <w:rPr>
          <w:rFonts w:ascii="Arial" w:hAnsi="Arial" w:cs="Arial"/>
          <w:sz w:val="22"/>
          <w:lang w:val="en-GB"/>
        </w:rPr>
        <w:t xml:space="preserve">HelpAge </w:t>
      </w:r>
      <w:r w:rsidR="00BF0EE1" w:rsidRPr="004F73C6">
        <w:rPr>
          <w:rFonts w:ascii="Arial" w:hAnsi="Arial" w:cs="Arial"/>
          <w:sz w:val="22"/>
          <w:lang w:val="en-GB"/>
        </w:rPr>
        <w:t>Programme Manager from a neighbouring country</w:t>
      </w:r>
      <w:r w:rsidR="00343D39" w:rsidRPr="004F73C6">
        <w:rPr>
          <w:rFonts w:ascii="Arial" w:hAnsi="Arial" w:cs="Arial"/>
          <w:sz w:val="22"/>
          <w:lang w:val="en-GB"/>
        </w:rPr>
        <w:t xml:space="preserve"> and </w:t>
      </w:r>
      <w:r w:rsidR="00C81BB8" w:rsidRPr="004F73C6">
        <w:rPr>
          <w:rFonts w:ascii="Arial" w:hAnsi="Arial" w:cs="Arial"/>
          <w:sz w:val="22"/>
          <w:lang w:val="en-GB"/>
        </w:rPr>
        <w:t xml:space="preserve">a HelpAge </w:t>
      </w:r>
      <w:r w:rsidR="00343D39" w:rsidRPr="004F73C6">
        <w:rPr>
          <w:rFonts w:ascii="Arial" w:hAnsi="Arial" w:cs="Arial"/>
          <w:sz w:val="22"/>
          <w:lang w:val="en-GB"/>
        </w:rPr>
        <w:t xml:space="preserve">M&amp;E </w:t>
      </w:r>
      <w:r w:rsidR="00C81BB8" w:rsidRPr="004F73C6">
        <w:rPr>
          <w:rFonts w:ascii="Arial" w:hAnsi="Arial" w:cs="Arial"/>
          <w:sz w:val="22"/>
          <w:lang w:val="en-GB"/>
        </w:rPr>
        <w:t>officer</w:t>
      </w:r>
      <w:r w:rsidR="00B42168" w:rsidRPr="004F73C6">
        <w:rPr>
          <w:rFonts w:ascii="Arial" w:hAnsi="Arial" w:cs="Arial"/>
          <w:sz w:val="22"/>
          <w:lang w:val="en-GB"/>
        </w:rPr>
        <w:t>/adviser</w:t>
      </w:r>
      <w:r w:rsidR="003254A3" w:rsidRPr="004F73C6">
        <w:rPr>
          <w:rFonts w:ascii="Arial" w:hAnsi="Arial" w:cs="Arial"/>
          <w:sz w:val="22"/>
          <w:lang w:val="en-GB"/>
        </w:rPr>
        <w:t xml:space="preserve">. </w:t>
      </w:r>
      <w:r w:rsidR="00643B02" w:rsidRPr="004F73C6">
        <w:rPr>
          <w:rFonts w:ascii="Arial" w:hAnsi="Arial" w:cs="Arial"/>
          <w:sz w:val="22"/>
          <w:lang w:val="en-GB"/>
        </w:rPr>
        <w:t xml:space="preserve">Each review consisted </w:t>
      </w:r>
      <w:r w:rsidR="00BF0EE1" w:rsidRPr="004F73C6">
        <w:rPr>
          <w:rFonts w:ascii="Arial" w:hAnsi="Arial" w:cs="Arial"/>
          <w:sz w:val="22"/>
          <w:lang w:val="en-GB"/>
        </w:rPr>
        <w:t xml:space="preserve">of field </w:t>
      </w:r>
      <w:r w:rsidR="00643B02" w:rsidRPr="004F73C6">
        <w:rPr>
          <w:rFonts w:ascii="Arial" w:hAnsi="Arial" w:cs="Arial"/>
          <w:sz w:val="22"/>
          <w:lang w:val="en-GB"/>
        </w:rPr>
        <w:t xml:space="preserve">visits </w:t>
      </w:r>
      <w:r w:rsidR="00BF0EE1" w:rsidRPr="004F73C6">
        <w:rPr>
          <w:rFonts w:ascii="Arial" w:hAnsi="Arial" w:cs="Arial"/>
          <w:sz w:val="22"/>
          <w:lang w:val="en-GB"/>
        </w:rPr>
        <w:t xml:space="preserve">and interviews using a core set of </w:t>
      </w:r>
      <w:r w:rsidR="00B028A7" w:rsidRPr="004F73C6">
        <w:rPr>
          <w:rFonts w:ascii="Arial" w:hAnsi="Arial" w:cs="Arial"/>
          <w:sz w:val="22"/>
          <w:lang w:val="en-GB"/>
        </w:rPr>
        <w:t xml:space="preserve">assessment </w:t>
      </w:r>
      <w:r w:rsidR="00BF0EE1" w:rsidRPr="004F73C6">
        <w:rPr>
          <w:rFonts w:ascii="Arial" w:hAnsi="Arial" w:cs="Arial"/>
          <w:sz w:val="22"/>
          <w:lang w:val="en-GB"/>
        </w:rPr>
        <w:t>tools</w:t>
      </w:r>
      <w:r w:rsidR="003254A3" w:rsidRPr="004F73C6">
        <w:rPr>
          <w:rFonts w:ascii="Arial" w:hAnsi="Arial" w:cs="Arial"/>
          <w:sz w:val="22"/>
          <w:lang w:val="en-GB"/>
        </w:rPr>
        <w:t xml:space="preserve"> (annex 2)</w:t>
      </w:r>
      <w:r w:rsidR="00BF0EE1" w:rsidRPr="004F73C6">
        <w:rPr>
          <w:rFonts w:ascii="Arial" w:hAnsi="Arial" w:cs="Arial"/>
          <w:sz w:val="22"/>
          <w:lang w:val="en-GB"/>
        </w:rPr>
        <w:t xml:space="preserve">. </w:t>
      </w:r>
      <w:r w:rsidR="00986CAA" w:rsidRPr="004F73C6">
        <w:rPr>
          <w:rFonts w:ascii="Arial" w:hAnsi="Arial" w:cs="Arial"/>
          <w:sz w:val="22"/>
          <w:lang w:val="en-GB"/>
        </w:rPr>
        <w:t xml:space="preserve">The </w:t>
      </w:r>
      <w:r w:rsidR="00BF0EE1" w:rsidRPr="004F73C6">
        <w:rPr>
          <w:rFonts w:ascii="Arial" w:hAnsi="Arial" w:cs="Arial"/>
          <w:sz w:val="22"/>
          <w:lang w:val="en-GB"/>
        </w:rPr>
        <w:t xml:space="preserve">development awareness programme in </w:t>
      </w:r>
      <w:r w:rsidR="00C30693" w:rsidRPr="004F73C6">
        <w:rPr>
          <w:rFonts w:ascii="Arial" w:hAnsi="Arial" w:cs="Arial"/>
          <w:i/>
          <w:sz w:val="22"/>
          <w:lang w:val="en-GB"/>
        </w:rPr>
        <w:t>Ireland</w:t>
      </w:r>
      <w:r w:rsidR="00BF0EE1" w:rsidRPr="004F73C6">
        <w:rPr>
          <w:rFonts w:ascii="Arial" w:hAnsi="Arial" w:cs="Arial"/>
          <w:sz w:val="22"/>
          <w:lang w:val="en-GB"/>
        </w:rPr>
        <w:t xml:space="preserve"> was </w:t>
      </w:r>
      <w:r w:rsidR="00ED4D2A" w:rsidRPr="004F73C6">
        <w:rPr>
          <w:rFonts w:ascii="Arial" w:hAnsi="Arial" w:cs="Arial"/>
          <w:sz w:val="22"/>
          <w:lang w:val="en-GB"/>
        </w:rPr>
        <w:t xml:space="preserve">reviewed </w:t>
      </w:r>
      <w:r w:rsidR="00B028A7" w:rsidRPr="004F73C6">
        <w:rPr>
          <w:rFonts w:ascii="Arial" w:hAnsi="Arial" w:cs="Arial"/>
          <w:sz w:val="22"/>
          <w:lang w:val="en-GB"/>
        </w:rPr>
        <w:t xml:space="preserve">by </w:t>
      </w:r>
      <w:r w:rsidR="00ED4D2A" w:rsidRPr="004F73C6">
        <w:rPr>
          <w:rFonts w:ascii="Arial" w:hAnsi="Arial" w:cs="Arial"/>
          <w:sz w:val="22"/>
          <w:lang w:val="en-GB"/>
        </w:rPr>
        <w:t xml:space="preserve">the </w:t>
      </w:r>
      <w:r w:rsidR="00B028A7" w:rsidRPr="004F73C6">
        <w:rPr>
          <w:rFonts w:ascii="Arial" w:hAnsi="Arial" w:cs="Arial"/>
          <w:sz w:val="22"/>
          <w:lang w:val="en-GB"/>
        </w:rPr>
        <w:t>HelpAge Monitoring and Evaluation Adviser based in London</w:t>
      </w:r>
      <w:r w:rsidR="00643B02" w:rsidRPr="004F73C6">
        <w:rPr>
          <w:rFonts w:ascii="Arial" w:hAnsi="Arial" w:cs="Arial"/>
          <w:sz w:val="22"/>
          <w:lang w:val="en-GB"/>
        </w:rPr>
        <w:t xml:space="preserve"> and involved a series of telephone interviews with key ‘boundary partners’</w:t>
      </w:r>
      <w:r w:rsidR="00B028A7" w:rsidRPr="004F73C6">
        <w:rPr>
          <w:rFonts w:ascii="Arial" w:hAnsi="Arial" w:cs="Arial"/>
          <w:sz w:val="22"/>
          <w:lang w:val="en-GB"/>
        </w:rPr>
        <w:t xml:space="preserve">. </w:t>
      </w:r>
      <w:r w:rsidR="003254A3" w:rsidRPr="004F73C6">
        <w:rPr>
          <w:rFonts w:ascii="Arial" w:hAnsi="Arial" w:cs="Arial"/>
          <w:sz w:val="22"/>
          <w:lang w:val="en-GB"/>
        </w:rPr>
        <w:t>Th</w:t>
      </w:r>
      <w:r w:rsidR="00954E52" w:rsidRPr="004F73C6">
        <w:rPr>
          <w:rFonts w:ascii="Arial" w:hAnsi="Arial" w:cs="Arial"/>
          <w:sz w:val="22"/>
          <w:lang w:val="en-GB"/>
        </w:rPr>
        <w:t xml:space="preserve">e </w:t>
      </w:r>
      <w:r w:rsidR="00643B02" w:rsidRPr="004F73C6">
        <w:rPr>
          <w:rFonts w:ascii="Arial" w:hAnsi="Arial" w:cs="Arial"/>
          <w:sz w:val="22"/>
          <w:lang w:val="en-GB"/>
        </w:rPr>
        <w:t xml:space="preserve">mid-term </w:t>
      </w:r>
      <w:r w:rsidR="00954E52" w:rsidRPr="004F73C6">
        <w:rPr>
          <w:rFonts w:ascii="Arial" w:hAnsi="Arial" w:cs="Arial"/>
          <w:sz w:val="22"/>
          <w:lang w:val="en-GB"/>
        </w:rPr>
        <w:t xml:space="preserve">review was </w:t>
      </w:r>
      <w:r w:rsidR="007F7A73" w:rsidRPr="004F73C6">
        <w:rPr>
          <w:rFonts w:ascii="Arial" w:hAnsi="Arial" w:cs="Arial"/>
          <w:sz w:val="22"/>
          <w:lang w:val="en-GB"/>
        </w:rPr>
        <w:t xml:space="preserve">conducted </w:t>
      </w:r>
      <w:r w:rsidR="00954E52" w:rsidRPr="004F73C6">
        <w:rPr>
          <w:rFonts w:ascii="Arial" w:hAnsi="Arial" w:cs="Arial"/>
          <w:sz w:val="22"/>
          <w:lang w:val="en-GB"/>
        </w:rPr>
        <w:t xml:space="preserve">by people internal to HelpAge (but external to </w:t>
      </w:r>
      <w:r w:rsidR="00005788" w:rsidRPr="004F73C6">
        <w:rPr>
          <w:rFonts w:ascii="Arial" w:hAnsi="Arial" w:cs="Arial"/>
          <w:sz w:val="22"/>
          <w:lang w:val="en-GB"/>
        </w:rPr>
        <w:t xml:space="preserve">the </w:t>
      </w:r>
      <w:r w:rsidR="003254A3" w:rsidRPr="004F73C6">
        <w:rPr>
          <w:rFonts w:ascii="Arial" w:hAnsi="Arial" w:cs="Arial"/>
          <w:sz w:val="22"/>
          <w:lang w:val="en-GB"/>
        </w:rPr>
        <w:t xml:space="preserve">country </w:t>
      </w:r>
      <w:r w:rsidR="00954E52" w:rsidRPr="004F73C6">
        <w:rPr>
          <w:rFonts w:ascii="Arial" w:hAnsi="Arial" w:cs="Arial"/>
          <w:sz w:val="22"/>
          <w:lang w:val="en-GB"/>
        </w:rPr>
        <w:t>programme</w:t>
      </w:r>
      <w:r w:rsidR="00005788" w:rsidRPr="004F73C6">
        <w:rPr>
          <w:rFonts w:ascii="Arial" w:hAnsi="Arial" w:cs="Arial"/>
          <w:sz w:val="22"/>
          <w:lang w:val="en-GB"/>
        </w:rPr>
        <w:t xml:space="preserve"> evaluated</w:t>
      </w:r>
      <w:r w:rsidR="00954E52" w:rsidRPr="004F73C6">
        <w:rPr>
          <w:rFonts w:ascii="Arial" w:hAnsi="Arial" w:cs="Arial"/>
          <w:sz w:val="22"/>
          <w:lang w:val="en-GB"/>
        </w:rPr>
        <w:t>)</w:t>
      </w:r>
      <w:r w:rsidR="007F7A73" w:rsidRPr="004F73C6">
        <w:rPr>
          <w:rFonts w:ascii="Arial" w:hAnsi="Arial" w:cs="Arial"/>
          <w:sz w:val="22"/>
          <w:lang w:val="en-GB"/>
        </w:rPr>
        <w:t>.</w:t>
      </w:r>
      <w:r w:rsidR="00954E52" w:rsidRPr="004F73C6">
        <w:rPr>
          <w:rFonts w:ascii="Arial" w:hAnsi="Arial" w:cs="Arial"/>
          <w:sz w:val="22"/>
          <w:lang w:val="en-GB"/>
        </w:rPr>
        <w:t xml:space="preserve"> </w:t>
      </w:r>
      <w:r w:rsidR="007F7A73" w:rsidRPr="004F73C6">
        <w:rPr>
          <w:rFonts w:ascii="Arial" w:hAnsi="Arial" w:cs="Arial"/>
          <w:sz w:val="22"/>
          <w:lang w:val="en-GB"/>
        </w:rPr>
        <w:t>T</w:t>
      </w:r>
      <w:r w:rsidR="00954E52" w:rsidRPr="004F73C6">
        <w:rPr>
          <w:rFonts w:ascii="Arial" w:hAnsi="Arial" w:cs="Arial"/>
          <w:sz w:val="22"/>
          <w:lang w:val="en-GB"/>
        </w:rPr>
        <w:t>he</w:t>
      </w:r>
      <w:r w:rsidR="003254A3" w:rsidRPr="004F73C6">
        <w:rPr>
          <w:rFonts w:ascii="Arial" w:hAnsi="Arial" w:cs="Arial"/>
          <w:sz w:val="22"/>
          <w:lang w:val="en-GB"/>
        </w:rPr>
        <w:t xml:space="preserve"> findings may therefore be subject to </w:t>
      </w:r>
      <w:r w:rsidR="00954E52" w:rsidRPr="004F73C6">
        <w:rPr>
          <w:rFonts w:ascii="Arial" w:hAnsi="Arial" w:cs="Arial"/>
          <w:sz w:val="22"/>
          <w:lang w:val="en-GB"/>
        </w:rPr>
        <w:t>organisational bias</w:t>
      </w:r>
      <w:r w:rsidR="007F7A73" w:rsidRPr="004F73C6">
        <w:rPr>
          <w:rFonts w:ascii="Arial" w:hAnsi="Arial" w:cs="Arial"/>
          <w:sz w:val="22"/>
          <w:lang w:val="en-GB"/>
        </w:rPr>
        <w:t xml:space="preserve"> but i</w:t>
      </w:r>
      <w:r w:rsidR="00954E52" w:rsidRPr="004F73C6">
        <w:rPr>
          <w:rFonts w:ascii="Arial" w:hAnsi="Arial" w:cs="Arial"/>
          <w:sz w:val="22"/>
          <w:lang w:val="en-GB"/>
        </w:rPr>
        <w:t xml:space="preserve">t is hoped this is outweighed by </w:t>
      </w:r>
      <w:r w:rsidR="00717EDA" w:rsidRPr="004F73C6">
        <w:rPr>
          <w:rFonts w:ascii="Arial" w:hAnsi="Arial" w:cs="Arial"/>
          <w:sz w:val="22"/>
          <w:lang w:val="en-GB"/>
        </w:rPr>
        <w:t>the opportunity</w:t>
      </w:r>
      <w:r w:rsidR="00EF2B11" w:rsidRPr="004F73C6">
        <w:rPr>
          <w:rFonts w:ascii="Arial" w:hAnsi="Arial" w:cs="Arial"/>
          <w:sz w:val="22"/>
          <w:lang w:val="en-GB"/>
        </w:rPr>
        <w:t xml:space="preserve"> to draw</w:t>
      </w:r>
      <w:r w:rsidR="007F7A73" w:rsidRPr="004F73C6">
        <w:rPr>
          <w:rFonts w:ascii="Arial" w:hAnsi="Arial" w:cs="Arial"/>
          <w:sz w:val="22"/>
          <w:lang w:val="en-GB"/>
        </w:rPr>
        <w:t xml:space="preserve"> on </w:t>
      </w:r>
      <w:r w:rsidR="00717EDA" w:rsidRPr="004F73C6">
        <w:rPr>
          <w:rFonts w:ascii="Arial" w:hAnsi="Arial" w:cs="Arial"/>
          <w:sz w:val="22"/>
          <w:lang w:val="en-GB"/>
        </w:rPr>
        <w:t xml:space="preserve">the </w:t>
      </w:r>
      <w:r w:rsidR="007F7A73" w:rsidRPr="004F73C6">
        <w:rPr>
          <w:rFonts w:ascii="Arial" w:hAnsi="Arial" w:cs="Arial"/>
          <w:sz w:val="22"/>
          <w:lang w:val="en-GB"/>
        </w:rPr>
        <w:t xml:space="preserve">expertise </w:t>
      </w:r>
      <w:r w:rsidR="00717EDA" w:rsidRPr="004F73C6">
        <w:rPr>
          <w:rFonts w:ascii="Arial" w:hAnsi="Arial" w:cs="Arial"/>
          <w:sz w:val="22"/>
          <w:lang w:val="en-GB"/>
        </w:rPr>
        <w:t xml:space="preserve">of staff, </w:t>
      </w:r>
      <w:r w:rsidR="00D05F20" w:rsidRPr="004F73C6">
        <w:rPr>
          <w:rFonts w:ascii="Arial" w:hAnsi="Arial" w:cs="Arial"/>
          <w:sz w:val="22"/>
          <w:lang w:val="en-GB"/>
        </w:rPr>
        <w:t xml:space="preserve">the </w:t>
      </w:r>
      <w:r w:rsidR="00717EDA" w:rsidRPr="004F73C6">
        <w:rPr>
          <w:rFonts w:ascii="Arial" w:hAnsi="Arial" w:cs="Arial"/>
          <w:sz w:val="22"/>
          <w:lang w:val="en-GB"/>
        </w:rPr>
        <w:t xml:space="preserve">benefits </w:t>
      </w:r>
      <w:r w:rsidR="005062B7" w:rsidRPr="004F73C6">
        <w:rPr>
          <w:rFonts w:ascii="Arial" w:hAnsi="Arial" w:cs="Arial"/>
          <w:sz w:val="22"/>
          <w:lang w:val="en-GB"/>
        </w:rPr>
        <w:t xml:space="preserve">for cross-programme </w:t>
      </w:r>
      <w:r w:rsidR="00717EDA" w:rsidRPr="004F73C6">
        <w:rPr>
          <w:rFonts w:ascii="Arial" w:hAnsi="Arial" w:cs="Arial"/>
          <w:sz w:val="22"/>
          <w:lang w:val="en-GB"/>
        </w:rPr>
        <w:t xml:space="preserve">learning, and </w:t>
      </w:r>
      <w:r w:rsidR="00D05F20" w:rsidRPr="004F73C6">
        <w:rPr>
          <w:rFonts w:ascii="Arial" w:hAnsi="Arial" w:cs="Arial"/>
          <w:sz w:val="22"/>
          <w:lang w:val="en-GB"/>
        </w:rPr>
        <w:t xml:space="preserve">the </w:t>
      </w:r>
      <w:r w:rsidR="005062B7" w:rsidRPr="004F73C6">
        <w:rPr>
          <w:rFonts w:ascii="Arial" w:hAnsi="Arial" w:cs="Arial"/>
          <w:sz w:val="22"/>
          <w:lang w:val="en-GB"/>
        </w:rPr>
        <w:t xml:space="preserve">potential for </w:t>
      </w:r>
      <w:r w:rsidR="00717EDA" w:rsidRPr="004F73C6">
        <w:rPr>
          <w:rFonts w:ascii="Arial" w:hAnsi="Arial" w:cs="Arial"/>
          <w:sz w:val="22"/>
          <w:lang w:val="en-GB"/>
        </w:rPr>
        <w:t xml:space="preserve">greater </w:t>
      </w:r>
      <w:r w:rsidR="00D05F20" w:rsidRPr="004F73C6">
        <w:rPr>
          <w:rFonts w:ascii="Arial" w:hAnsi="Arial" w:cs="Arial"/>
          <w:sz w:val="22"/>
          <w:lang w:val="en-GB"/>
        </w:rPr>
        <w:t xml:space="preserve">take-up </w:t>
      </w:r>
      <w:r w:rsidR="00717EDA" w:rsidRPr="004F73C6">
        <w:rPr>
          <w:rFonts w:ascii="Arial" w:hAnsi="Arial" w:cs="Arial"/>
          <w:sz w:val="22"/>
          <w:lang w:val="en-GB"/>
        </w:rPr>
        <w:t>of findings</w:t>
      </w:r>
      <w:r w:rsidR="00954E52" w:rsidRPr="004F73C6">
        <w:rPr>
          <w:rFonts w:ascii="Arial" w:hAnsi="Arial" w:cs="Arial"/>
          <w:sz w:val="22"/>
          <w:lang w:val="en-GB"/>
        </w:rPr>
        <w:t xml:space="preserve">. </w:t>
      </w:r>
      <w:r w:rsidR="00B028A7" w:rsidRPr="004F73C6">
        <w:rPr>
          <w:rFonts w:ascii="Arial" w:hAnsi="Arial" w:cs="Arial"/>
          <w:sz w:val="22"/>
          <w:lang w:val="en-GB"/>
        </w:rPr>
        <w:t xml:space="preserve">Individual reports provide details on the </w:t>
      </w:r>
      <w:r w:rsidR="003254A3" w:rsidRPr="004F73C6">
        <w:rPr>
          <w:rFonts w:ascii="Arial" w:hAnsi="Arial" w:cs="Arial"/>
          <w:sz w:val="22"/>
          <w:lang w:val="en-GB"/>
        </w:rPr>
        <w:t xml:space="preserve">team and methodology </w:t>
      </w:r>
      <w:r w:rsidR="00BD046B" w:rsidRPr="004F73C6">
        <w:rPr>
          <w:rFonts w:ascii="Arial" w:hAnsi="Arial" w:cs="Arial"/>
          <w:sz w:val="22"/>
          <w:lang w:val="en-GB"/>
        </w:rPr>
        <w:t xml:space="preserve">applied in </w:t>
      </w:r>
      <w:r w:rsidR="00954E52" w:rsidRPr="004F73C6">
        <w:rPr>
          <w:rFonts w:ascii="Arial" w:hAnsi="Arial" w:cs="Arial"/>
          <w:sz w:val="22"/>
          <w:lang w:val="en-GB"/>
        </w:rPr>
        <w:t>each country review.</w:t>
      </w:r>
    </w:p>
    <w:p w14:paraId="57B4D5E0" w14:textId="40EAE0D1" w:rsidR="00B028A7" w:rsidRPr="004F73C6" w:rsidRDefault="00B028A7" w:rsidP="00BF0EE1">
      <w:pPr>
        <w:spacing w:line="276" w:lineRule="auto"/>
        <w:ind w:left="142"/>
        <w:jc w:val="both"/>
        <w:rPr>
          <w:rFonts w:ascii="Arial" w:hAnsi="Arial" w:cs="Arial"/>
          <w:sz w:val="22"/>
          <w:lang w:val="en-GB"/>
        </w:rPr>
      </w:pPr>
      <w:r w:rsidRPr="004F73C6">
        <w:rPr>
          <w:rFonts w:ascii="Arial" w:hAnsi="Arial" w:cs="Arial"/>
          <w:sz w:val="22"/>
          <w:lang w:val="en-GB"/>
        </w:rPr>
        <w:t>The findings of the review were presented in individual country-level reports (attached as annexes to this summary), with a draft synthesis presented at a teleconference of AFFORD programme managers in July 2014, and at the AFFORD annual learning workshop i</w:t>
      </w:r>
      <w:r w:rsidR="0018419A" w:rsidRPr="004F73C6">
        <w:rPr>
          <w:rFonts w:ascii="Arial" w:hAnsi="Arial" w:cs="Arial"/>
          <w:sz w:val="22"/>
          <w:lang w:val="en-GB"/>
        </w:rPr>
        <w:t xml:space="preserve">n </w:t>
      </w:r>
      <w:r w:rsidR="00C30693" w:rsidRPr="004F73C6">
        <w:rPr>
          <w:rFonts w:ascii="Arial" w:hAnsi="Arial" w:cs="Arial"/>
          <w:i/>
          <w:sz w:val="22"/>
          <w:lang w:val="en-GB"/>
        </w:rPr>
        <w:t>Mozambique</w:t>
      </w:r>
      <w:r w:rsidR="0018419A" w:rsidRPr="004F73C6">
        <w:rPr>
          <w:rFonts w:ascii="Arial" w:hAnsi="Arial" w:cs="Arial"/>
          <w:sz w:val="22"/>
          <w:lang w:val="en-GB"/>
        </w:rPr>
        <w:t xml:space="preserve"> in September 2014 </w:t>
      </w:r>
      <w:r w:rsidR="002938D7" w:rsidRPr="004F73C6">
        <w:rPr>
          <w:rFonts w:ascii="Arial" w:hAnsi="Arial" w:cs="Arial"/>
          <w:sz w:val="22"/>
          <w:lang w:val="en-GB"/>
        </w:rPr>
        <w:t>which identified</w:t>
      </w:r>
      <w:r w:rsidR="009F56B0" w:rsidRPr="004F73C6">
        <w:rPr>
          <w:rFonts w:ascii="Arial" w:hAnsi="Arial" w:cs="Arial"/>
          <w:sz w:val="22"/>
          <w:lang w:val="en-GB"/>
        </w:rPr>
        <w:t xml:space="preserve"> </w:t>
      </w:r>
      <w:r w:rsidR="002938D7" w:rsidRPr="004F73C6">
        <w:rPr>
          <w:rFonts w:ascii="Arial" w:hAnsi="Arial" w:cs="Arial"/>
          <w:sz w:val="22"/>
          <w:lang w:val="en-GB"/>
        </w:rPr>
        <w:t xml:space="preserve">management </w:t>
      </w:r>
      <w:r w:rsidR="0018419A" w:rsidRPr="004F73C6">
        <w:rPr>
          <w:rFonts w:ascii="Arial" w:hAnsi="Arial" w:cs="Arial"/>
          <w:sz w:val="22"/>
          <w:lang w:val="en-GB"/>
        </w:rPr>
        <w:t>responses</w:t>
      </w:r>
      <w:r w:rsidR="002938D7" w:rsidRPr="004F73C6">
        <w:rPr>
          <w:rFonts w:ascii="Arial" w:hAnsi="Arial" w:cs="Arial"/>
          <w:sz w:val="22"/>
          <w:lang w:val="en-GB"/>
        </w:rPr>
        <w:t xml:space="preserve"> to the findings</w:t>
      </w:r>
      <w:r w:rsidR="0018419A" w:rsidRPr="004F73C6">
        <w:rPr>
          <w:rFonts w:ascii="Arial" w:hAnsi="Arial" w:cs="Arial"/>
          <w:sz w:val="22"/>
          <w:lang w:val="en-GB"/>
        </w:rPr>
        <w:t>.</w:t>
      </w:r>
    </w:p>
    <w:p w14:paraId="657563B3" w14:textId="51B070CA" w:rsidR="006D598E" w:rsidRPr="004F73C6" w:rsidRDefault="00C53B9A" w:rsidP="00BA6FA7">
      <w:pPr>
        <w:pStyle w:val="Heading1"/>
        <w:rPr>
          <w:rFonts w:eastAsia="Calibri"/>
          <w:lang w:val="en-GB"/>
        </w:rPr>
      </w:pPr>
      <w:bookmarkStart w:id="3" w:name="_Toc402974748"/>
      <w:r w:rsidRPr="004F73C6">
        <w:rPr>
          <w:rFonts w:eastAsia="Calibri"/>
          <w:lang w:val="en-GB"/>
        </w:rPr>
        <w:lastRenderedPageBreak/>
        <w:t>Effectiveness</w:t>
      </w:r>
      <w:bookmarkEnd w:id="3"/>
    </w:p>
    <w:p w14:paraId="630F6A65" w14:textId="3A177864" w:rsidR="00154F51" w:rsidRPr="004F73C6" w:rsidRDefault="00154F51" w:rsidP="00154F51">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The mid-term review found evidence of </w:t>
      </w:r>
      <w:r w:rsidR="00122BAF" w:rsidRPr="004F73C6">
        <w:rPr>
          <w:rFonts w:ascii="Arial" w:eastAsia="Calibri" w:hAnsi="Arial" w:cs="Arial"/>
          <w:sz w:val="22"/>
          <w:lang w:val="en-GB"/>
        </w:rPr>
        <w:t xml:space="preserve">generally good </w:t>
      </w:r>
      <w:r w:rsidRPr="004F73C6">
        <w:rPr>
          <w:rFonts w:ascii="Arial" w:eastAsia="Calibri" w:hAnsi="Arial" w:cs="Arial"/>
          <w:sz w:val="22"/>
          <w:lang w:val="en-GB"/>
        </w:rPr>
        <w:t>progress against the results framework</w:t>
      </w:r>
      <w:r w:rsidR="000D7848" w:rsidRPr="004F73C6">
        <w:rPr>
          <w:rFonts w:ascii="Arial" w:eastAsia="Calibri" w:hAnsi="Arial" w:cs="Arial"/>
          <w:sz w:val="22"/>
          <w:lang w:val="en-GB"/>
        </w:rPr>
        <w:t>, although the extent of this progress varies according to result area</w:t>
      </w:r>
      <w:r w:rsidRPr="004F73C6">
        <w:rPr>
          <w:rFonts w:ascii="Arial" w:eastAsia="Calibri" w:hAnsi="Arial" w:cs="Arial"/>
          <w:sz w:val="22"/>
          <w:lang w:val="en-GB"/>
        </w:rPr>
        <w:t xml:space="preserve">. The table below presents </w:t>
      </w:r>
      <w:r w:rsidR="00471F9C" w:rsidRPr="004F73C6">
        <w:rPr>
          <w:rFonts w:ascii="Arial" w:eastAsia="Calibri" w:hAnsi="Arial" w:cs="Arial"/>
          <w:sz w:val="22"/>
          <w:lang w:val="en-GB"/>
        </w:rPr>
        <w:t xml:space="preserve">summary ratings provided </w:t>
      </w:r>
      <w:r w:rsidR="001F5E94" w:rsidRPr="004F73C6">
        <w:rPr>
          <w:rFonts w:ascii="Arial" w:eastAsia="Calibri" w:hAnsi="Arial" w:cs="Arial"/>
          <w:sz w:val="22"/>
          <w:lang w:val="en-GB"/>
        </w:rPr>
        <w:t xml:space="preserve">by </w:t>
      </w:r>
      <w:r w:rsidR="00471F9C" w:rsidRPr="004F73C6">
        <w:rPr>
          <w:rFonts w:ascii="Arial" w:eastAsia="Calibri" w:hAnsi="Arial" w:cs="Arial"/>
          <w:sz w:val="22"/>
          <w:lang w:val="en-GB"/>
        </w:rPr>
        <w:t xml:space="preserve">the </w:t>
      </w:r>
      <w:r w:rsidR="001F5E94" w:rsidRPr="004F73C6">
        <w:rPr>
          <w:rFonts w:ascii="Arial" w:eastAsia="Calibri" w:hAnsi="Arial" w:cs="Arial"/>
          <w:sz w:val="22"/>
          <w:lang w:val="en-GB"/>
        </w:rPr>
        <w:t xml:space="preserve">visits to </w:t>
      </w:r>
      <w:r w:rsidRPr="004F73C6">
        <w:rPr>
          <w:rFonts w:ascii="Arial" w:eastAsia="Calibri" w:hAnsi="Arial" w:cs="Arial"/>
          <w:sz w:val="22"/>
          <w:lang w:val="en-GB"/>
        </w:rPr>
        <w:t>each country</w:t>
      </w:r>
      <w:r w:rsidR="00471F9C" w:rsidRPr="004F73C6">
        <w:rPr>
          <w:rFonts w:ascii="Arial" w:eastAsia="Calibri" w:hAnsi="Arial" w:cs="Arial"/>
          <w:sz w:val="22"/>
          <w:lang w:val="en-GB"/>
        </w:rPr>
        <w:t xml:space="preserve"> programme</w:t>
      </w:r>
      <w:r w:rsidRPr="004F73C6">
        <w:rPr>
          <w:rFonts w:ascii="Arial" w:eastAsia="Calibri" w:hAnsi="Arial" w:cs="Arial"/>
          <w:sz w:val="22"/>
          <w:lang w:val="en-GB"/>
        </w:rPr>
        <w:t>. Th</w:t>
      </w:r>
      <w:r w:rsidR="00B30CC1" w:rsidRPr="004F73C6">
        <w:rPr>
          <w:rFonts w:ascii="Arial" w:eastAsia="Calibri" w:hAnsi="Arial" w:cs="Arial"/>
          <w:sz w:val="22"/>
          <w:lang w:val="en-GB"/>
        </w:rPr>
        <w:t xml:space="preserve">e ratings </w:t>
      </w:r>
      <w:r w:rsidR="00471F9C" w:rsidRPr="004F73C6">
        <w:rPr>
          <w:rFonts w:ascii="Arial" w:eastAsia="Calibri" w:hAnsi="Arial" w:cs="Arial"/>
          <w:sz w:val="22"/>
          <w:lang w:val="en-GB"/>
        </w:rPr>
        <w:t xml:space="preserve">were </w:t>
      </w:r>
      <w:r w:rsidRPr="004F73C6">
        <w:rPr>
          <w:rFonts w:ascii="Arial" w:eastAsia="Calibri" w:hAnsi="Arial" w:cs="Arial"/>
          <w:sz w:val="22"/>
          <w:lang w:val="en-GB"/>
        </w:rPr>
        <w:t>based on data</w:t>
      </w:r>
      <w:r w:rsidR="00B30CC1" w:rsidRPr="004F73C6">
        <w:rPr>
          <w:rFonts w:ascii="Arial" w:eastAsia="Calibri" w:hAnsi="Arial" w:cs="Arial"/>
          <w:sz w:val="22"/>
          <w:lang w:val="en-GB"/>
        </w:rPr>
        <w:t xml:space="preserve"> from reports</w:t>
      </w:r>
      <w:r w:rsidRPr="004F73C6">
        <w:rPr>
          <w:rFonts w:ascii="Arial" w:eastAsia="Calibri" w:hAnsi="Arial" w:cs="Arial"/>
          <w:sz w:val="22"/>
          <w:lang w:val="en-GB"/>
        </w:rPr>
        <w:t xml:space="preserve">, with verification and further analysis </w:t>
      </w:r>
      <w:r w:rsidR="00471F9C" w:rsidRPr="004F73C6">
        <w:rPr>
          <w:rFonts w:ascii="Arial" w:eastAsia="Calibri" w:hAnsi="Arial" w:cs="Arial"/>
          <w:sz w:val="22"/>
          <w:lang w:val="en-GB"/>
        </w:rPr>
        <w:t xml:space="preserve">from </w:t>
      </w:r>
      <w:r w:rsidRPr="004F73C6">
        <w:rPr>
          <w:rFonts w:ascii="Arial" w:eastAsia="Calibri" w:hAnsi="Arial" w:cs="Arial"/>
          <w:sz w:val="22"/>
          <w:lang w:val="en-GB"/>
        </w:rPr>
        <w:t>interviews and visits to the field</w:t>
      </w:r>
      <w:r w:rsidR="00471F9C" w:rsidRPr="004F73C6">
        <w:rPr>
          <w:rFonts w:ascii="Arial" w:eastAsia="Calibri" w:hAnsi="Arial" w:cs="Arial"/>
          <w:sz w:val="22"/>
          <w:lang w:val="en-GB"/>
        </w:rPr>
        <w:t xml:space="preserve"> by the review teams</w:t>
      </w:r>
      <w:r w:rsidRPr="004F73C6">
        <w:rPr>
          <w:rFonts w:ascii="Arial" w:eastAsia="Calibri" w:hAnsi="Arial" w:cs="Arial"/>
          <w:sz w:val="22"/>
          <w:lang w:val="en-GB"/>
        </w:rPr>
        <w:t xml:space="preserve">. </w:t>
      </w:r>
    </w:p>
    <w:tbl>
      <w:tblPr>
        <w:tblStyle w:val="TableGrid"/>
        <w:tblW w:w="10065" w:type="dxa"/>
        <w:tblLayout w:type="fixed"/>
        <w:tblLook w:val="04A0" w:firstRow="1" w:lastRow="0" w:firstColumn="1" w:lastColumn="0" w:noHBand="0" w:noVBand="1"/>
      </w:tblPr>
      <w:tblGrid>
        <w:gridCol w:w="581"/>
        <w:gridCol w:w="7165"/>
        <w:gridCol w:w="545"/>
        <w:gridCol w:w="640"/>
        <w:gridCol w:w="567"/>
        <w:gridCol w:w="567"/>
      </w:tblGrid>
      <w:tr w:rsidR="00D348C8" w:rsidRPr="004F73C6" w14:paraId="3FAD326F" w14:textId="77777777" w:rsidTr="00EE626B">
        <w:tc>
          <w:tcPr>
            <w:tcW w:w="7746" w:type="dxa"/>
            <w:gridSpan w:val="2"/>
          </w:tcPr>
          <w:p w14:paraId="7B70813C" w14:textId="68C079F5" w:rsidR="00D348C8" w:rsidRPr="004F73C6" w:rsidRDefault="00064C72" w:rsidP="00064C72">
            <w:pPr>
              <w:tabs>
                <w:tab w:val="num" w:pos="540"/>
              </w:tabs>
              <w:jc w:val="both"/>
              <w:rPr>
                <w:rFonts w:ascii="Arial Narrow" w:eastAsia="Calibri" w:hAnsi="Arial Narrow" w:cs="Arial"/>
                <w:b/>
                <w:sz w:val="18"/>
                <w:szCs w:val="18"/>
                <w:lang w:val="en-GB"/>
              </w:rPr>
            </w:pPr>
            <w:r w:rsidRPr="004F73C6">
              <w:rPr>
                <w:rFonts w:ascii="Arial Narrow" w:eastAsia="Calibri" w:hAnsi="Arial Narrow" w:cs="Arial"/>
                <w:b/>
                <w:sz w:val="18"/>
                <w:szCs w:val="18"/>
                <w:lang w:val="en-GB"/>
              </w:rPr>
              <w:t xml:space="preserve">Progress on indicators by country </w:t>
            </w:r>
          </w:p>
        </w:tc>
        <w:tc>
          <w:tcPr>
            <w:tcW w:w="545" w:type="dxa"/>
          </w:tcPr>
          <w:p w14:paraId="7C87678D" w14:textId="77777777" w:rsidR="00D348C8" w:rsidRPr="004F73C6" w:rsidRDefault="00D348C8" w:rsidP="00D348C8">
            <w:pPr>
              <w:tabs>
                <w:tab w:val="num" w:pos="540"/>
              </w:tabs>
              <w:jc w:val="both"/>
              <w:rPr>
                <w:rFonts w:ascii="Arial Narrow" w:eastAsia="Calibri" w:hAnsi="Arial Narrow" w:cs="Arial"/>
                <w:b/>
                <w:sz w:val="18"/>
                <w:szCs w:val="18"/>
                <w:lang w:val="en-GB"/>
              </w:rPr>
            </w:pPr>
            <w:r w:rsidRPr="004F73C6">
              <w:rPr>
                <w:rFonts w:ascii="Arial Narrow" w:eastAsia="Calibri" w:hAnsi="Arial Narrow" w:cs="Arial"/>
                <w:b/>
                <w:sz w:val="18"/>
                <w:szCs w:val="18"/>
                <w:lang w:val="en-GB"/>
              </w:rPr>
              <w:t>MOZ</w:t>
            </w:r>
          </w:p>
          <w:p w14:paraId="261AD349" w14:textId="522D8A4B" w:rsidR="00064C72" w:rsidRPr="004F73C6" w:rsidRDefault="00064C72" w:rsidP="00D348C8">
            <w:pPr>
              <w:tabs>
                <w:tab w:val="num" w:pos="540"/>
              </w:tabs>
              <w:jc w:val="both"/>
              <w:rPr>
                <w:rFonts w:ascii="Arial Narrow" w:eastAsia="Calibri" w:hAnsi="Arial Narrow" w:cs="Arial"/>
                <w:b/>
                <w:sz w:val="18"/>
                <w:szCs w:val="18"/>
                <w:lang w:val="en-GB"/>
              </w:rPr>
            </w:pPr>
          </w:p>
        </w:tc>
        <w:tc>
          <w:tcPr>
            <w:tcW w:w="640" w:type="dxa"/>
          </w:tcPr>
          <w:p w14:paraId="6E284DFD" w14:textId="381F3018" w:rsidR="00D348C8" w:rsidRPr="004F73C6" w:rsidRDefault="00D348C8" w:rsidP="00D348C8">
            <w:pPr>
              <w:tabs>
                <w:tab w:val="num" w:pos="540"/>
              </w:tabs>
              <w:jc w:val="both"/>
              <w:rPr>
                <w:rFonts w:ascii="Arial Narrow" w:eastAsia="Calibri" w:hAnsi="Arial Narrow" w:cs="Arial"/>
                <w:b/>
                <w:sz w:val="18"/>
                <w:szCs w:val="18"/>
                <w:lang w:val="en-GB"/>
              </w:rPr>
            </w:pPr>
            <w:r w:rsidRPr="004F73C6">
              <w:rPr>
                <w:rFonts w:ascii="Arial Narrow" w:eastAsia="Calibri" w:hAnsi="Arial Narrow" w:cs="Arial"/>
                <w:b/>
                <w:sz w:val="18"/>
                <w:szCs w:val="18"/>
                <w:lang w:val="en-GB"/>
              </w:rPr>
              <w:t>TAN</w:t>
            </w:r>
          </w:p>
        </w:tc>
        <w:tc>
          <w:tcPr>
            <w:tcW w:w="567" w:type="dxa"/>
          </w:tcPr>
          <w:p w14:paraId="1B44E523" w14:textId="1F84E22F" w:rsidR="00D348C8" w:rsidRPr="004F73C6" w:rsidRDefault="00D348C8" w:rsidP="00D348C8">
            <w:pPr>
              <w:tabs>
                <w:tab w:val="num" w:pos="540"/>
              </w:tabs>
              <w:jc w:val="both"/>
              <w:rPr>
                <w:rFonts w:ascii="Arial Narrow" w:eastAsia="Calibri" w:hAnsi="Arial Narrow" w:cs="Arial"/>
                <w:b/>
                <w:sz w:val="18"/>
                <w:szCs w:val="18"/>
                <w:lang w:val="en-GB"/>
              </w:rPr>
            </w:pPr>
            <w:r w:rsidRPr="004F73C6">
              <w:rPr>
                <w:rFonts w:ascii="Arial Narrow" w:eastAsia="Calibri" w:hAnsi="Arial Narrow" w:cs="Arial"/>
                <w:b/>
                <w:sz w:val="18"/>
                <w:szCs w:val="18"/>
                <w:lang w:val="en-GB"/>
              </w:rPr>
              <w:t>UGA</w:t>
            </w:r>
          </w:p>
        </w:tc>
        <w:tc>
          <w:tcPr>
            <w:tcW w:w="567" w:type="dxa"/>
          </w:tcPr>
          <w:p w14:paraId="3D173DDE" w14:textId="47E5FA44" w:rsidR="00D348C8" w:rsidRPr="004F73C6" w:rsidRDefault="00D348C8" w:rsidP="00D348C8">
            <w:pPr>
              <w:tabs>
                <w:tab w:val="num" w:pos="540"/>
              </w:tabs>
              <w:jc w:val="both"/>
              <w:rPr>
                <w:rFonts w:ascii="Arial Narrow" w:eastAsia="Calibri" w:hAnsi="Arial Narrow" w:cs="Arial"/>
                <w:b/>
                <w:sz w:val="18"/>
                <w:szCs w:val="18"/>
                <w:lang w:val="en-GB"/>
              </w:rPr>
            </w:pPr>
            <w:r w:rsidRPr="004F73C6">
              <w:rPr>
                <w:rFonts w:ascii="Arial Narrow" w:eastAsia="Calibri" w:hAnsi="Arial Narrow" w:cs="Arial"/>
                <w:b/>
                <w:sz w:val="18"/>
                <w:szCs w:val="18"/>
                <w:lang w:val="en-GB"/>
              </w:rPr>
              <w:t>SA</w:t>
            </w:r>
          </w:p>
        </w:tc>
      </w:tr>
      <w:tr w:rsidR="00D348C8" w:rsidRPr="004F73C6" w14:paraId="46A1E824" w14:textId="77777777" w:rsidTr="00EE626B">
        <w:tc>
          <w:tcPr>
            <w:tcW w:w="10065" w:type="dxa"/>
            <w:gridSpan w:val="6"/>
            <w:shd w:val="clear" w:color="auto" w:fill="D9D9D9" w:themeFill="background1" w:themeFillShade="D9"/>
          </w:tcPr>
          <w:p w14:paraId="76B2DBA9" w14:textId="0645E6ED" w:rsidR="0099317B" w:rsidRPr="004F73C6" w:rsidRDefault="00D348C8" w:rsidP="00D348C8">
            <w:pPr>
              <w:tabs>
                <w:tab w:val="num" w:pos="540"/>
              </w:tabs>
              <w:jc w:val="both"/>
              <w:rPr>
                <w:rFonts w:ascii="Arial Narrow" w:eastAsia="Calibri" w:hAnsi="Arial Narrow" w:cs="Arial"/>
                <w:b/>
                <w:i/>
                <w:sz w:val="18"/>
                <w:szCs w:val="18"/>
                <w:lang w:val="en-GB"/>
              </w:rPr>
            </w:pPr>
            <w:r w:rsidRPr="004F73C6">
              <w:rPr>
                <w:rFonts w:ascii="Arial Narrow" w:eastAsia="Calibri" w:hAnsi="Arial Narrow" w:cs="Arial"/>
                <w:b/>
                <w:sz w:val="18"/>
                <w:szCs w:val="18"/>
                <w:lang w:val="en-GB"/>
              </w:rPr>
              <w:t>Outcome 1:</w:t>
            </w:r>
            <w:r w:rsidRPr="004F73C6">
              <w:rPr>
                <w:rFonts w:ascii="Arial Narrow" w:eastAsia="Calibri" w:hAnsi="Arial Narrow" w:cs="Arial"/>
                <w:sz w:val="18"/>
                <w:szCs w:val="18"/>
                <w:lang w:val="en-GB"/>
              </w:rPr>
              <w:t xml:space="preserve">  </w:t>
            </w:r>
            <w:r w:rsidRPr="004F73C6">
              <w:rPr>
                <w:rFonts w:ascii="Arial Narrow" w:eastAsia="Calibri" w:hAnsi="Arial Narrow" w:cs="Arial"/>
                <w:b/>
                <w:i/>
                <w:sz w:val="18"/>
                <w:szCs w:val="18"/>
                <w:lang w:val="en-GB"/>
              </w:rPr>
              <w:t>Older men and women benefit from more accessible social protection programmes</w:t>
            </w:r>
          </w:p>
        </w:tc>
      </w:tr>
      <w:tr w:rsidR="00D348C8" w:rsidRPr="004F73C6" w14:paraId="48D0C7D1" w14:textId="77777777" w:rsidTr="00EE626B">
        <w:tc>
          <w:tcPr>
            <w:tcW w:w="581" w:type="dxa"/>
          </w:tcPr>
          <w:p w14:paraId="7BE45BCB" w14:textId="05D09E09"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1A</w:t>
            </w:r>
          </w:p>
        </w:tc>
        <w:tc>
          <w:tcPr>
            <w:tcW w:w="7165" w:type="dxa"/>
          </w:tcPr>
          <w:p w14:paraId="09BDDC35" w14:textId="0D1AD56C"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countries with an accountability mechanism of pensions / cash transfer programmes where civil society has an accountability monitoring role (relevant to older persons).</w:t>
            </w:r>
          </w:p>
        </w:tc>
        <w:tc>
          <w:tcPr>
            <w:tcW w:w="545" w:type="dxa"/>
            <w:shd w:val="clear" w:color="auto" w:fill="C2D69B" w:themeFill="accent3" w:themeFillTint="99"/>
          </w:tcPr>
          <w:p w14:paraId="53B5802B"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7502E42F"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0AF8D4DD"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D9D9" w:themeFill="background1" w:themeFillShade="D9"/>
          </w:tcPr>
          <w:p w14:paraId="070AEA72" w14:textId="446B8546"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r w:rsidR="00D348C8" w:rsidRPr="004F73C6" w14:paraId="034FFDD4" w14:textId="77777777" w:rsidTr="00EE626B">
        <w:tc>
          <w:tcPr>
            <w:tcW w:w="581" w:type="dxa"/>
          </w:tcPr>
          <w:p w14:paraId="2B28F27F" w14:textId="2F4B80AF"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1B</w:t>
            </w:r>
          </w:p>
        </w:tc>
        <w:tc>
          <w:tcPr>
            <w:tcW w:w="7165" w:type="dxa"/>
          </w:tcPr>
          <w:p w14:paraId="54EC7212" w14:textId="5A6F4FEB"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xml:space="preserve"> [#] of Older Person receiving cash transfer/universal pension schemes (new or existing)</w:t>
            </w:r>
          </w:p>
        </w:tc>
        <w:tc>
          <w:tcPr>
            <w:tcW w:w="545" w:type="dxa"/>
            <w:shd w:val="clear" w:color="auto" w:fill="C2D69B" w:themeFill="accent3" w:themeFillTint="99"/>
          </w:tcPr>
          <w:p w14:paraId="0DE10631"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D99594" w:themeFill="accent2" w:themeFillTint="99"/>
          </w:tcPr>
          <w:p w14:paraId="0CB73DA0"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tcPr>
          <w:p w14:paraId="6CC3E2F6" w14:textId="1799E0C5" w:rsidR="00D348C8" w:rsidRPr="004F73C6" w:rsidRDefault="00D348C8" w:rsidP="00922FFD">
            <w:pPr>
              <w:tabs>
                <w:tab w:val="num" w:pos="540"/>
              </w:tabs>
              <w:jc w:val="center"/>
              <w:rPr>
                <w:rFonts w:ascii="Arial Narrow" w:eastAsia="Calibri" w:hAnsi="Arial Narrow" w:cs="Arial"/>
                <w:sz w:val="18"/>
                <w:szCs w:val="18"/>
                <w:lang w:val="en-GB"/>
              </w:rPr>
            </w:pPr>
          </w:p>
        </w:tc>
        <w:tc>
          <w:tcPr>
            <w:tcW w:w="567" w:type="dxa"/>
            <w:shd w:val="clear" w:color="auto" w:fill="D9D9D9" w:themeFill="background1" w:themeFillShade="D9"/>
          </w:tcPr>
          <w:p w14:paraId="31E6EE48" w14:textId="6BE4A3C5"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r w:rsidR="00D348C8" w:rsidRPr="004F73C6" w14:paraId="4580E9A8" w14:textId="77777777" w:rsidTr="00EE626B">
        <w:tc>
          <w:tcPr>
            <w:tcW w:w="581" w:type="dxa"/>
          </w:tcPr>
          <w:p w14:paraId="59E6A20F" w14:textId="7AAC6B71"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1C</w:t>
            </w:r>
          </w:p>
        </w:tc>
        <w:tc>
          <w:tcPr>
            <w:tcW w:w="7165" w:type="dxa"/>
          </w:tcPr>
          <w:p w14:paraId="6590205C" w14:textId="7B59D7FD"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Value of new or existing social protection/cash transfer/universal pension schemes benefitting OP</w:t>
            </w:r>
          </w:p>
        </w:tc>
        <w:tc>
          <w:tcPr>
            <w:tcW w:w="545" w:type="dxa"/>
            <w:shd w:val="clear" w:color="auto" w:fill="C2D69B" w:themeFill="accent3" w:themeFillTint="99"/>
          </w:tcPr>
          <w:p w14:paraId="65365B76"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715FA93D"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7DEC6E29"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D9D9" w:themeFill="background1" w:themeFillShade="D9"/>
          </w:tcPr>
          <w:p w14:paraId="724B1566" w14:textId="3C1C6086"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r w:rsidR="00D348C8" w:rsidRPr="004F73C6" w14:paraId="76626AC4" w14:textId="77777777" w:rsidTr="00EE626B">
        <w:tc>
          <w:tcPr>
            <w:tcW w:w="10065" w:type="dxa"/>
            <w:gridSpan w:val="6"/>
          </w:tcPr>
          <w:p w14:paraId="7C94E000" w14:textId="31CC66E4"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b/>
                <w:sz w:val="18"/>
                <w:szCs w:val="18"/>
                <w:lang w:val="en-GB"/>
              </w:rPr>
              <w:t xml:space="preserve">Output 1.1: </w:t>
            </w:r>
            <w:r w:rsidRPr="004F73C6">
              <w:rPr>
                <w:rFonts w:ascii="Arial Narrow" w:eastAsia="Calibri" w:hAnsi="Arial Narrow" w:cs="Arial"/>
                <w:sz w:val="18"/>
                <w:szCs w:val="18"/>
                <w:lang w:val="en-GB"/>
              </w:rPr>
              <w:t>Older people holding their governments to account at local and national level for the delivery of social protection programmes</w:t>
            </w:r>
          </w:p>
        </w:tc>
      </w:tr>
      <w:tr w:rsidR="00D348C8" w:rsidRPr="004F73C6" w14:paraId="16E0D996" w14:textId="77777777" w:rsidTr="00EE626B">
        <w:tc>
          <w:tcPr>
            <w:tcW w:w="581" w:type="dxa"/>
          </w:tcPr>
          <w:p w14:paraId="5867CA76" w14:textId="7841C262"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1.1A</w:t>
            </w:r>
          </w:p>
        </w:tc>
        <w:tc>
          <w:tcPr>
            <w:tcW w:w="7165" w:type="dxa"/>
          </w:tcPr>
          <w:p w14:paraId="0058FEE3" w14:textId="705F1687"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Older People and their associations demanding Social Protection services from their government (new/expanded/reformed services)</w:t>
            </w:r>
          </w:p>
        </w:tc>
        <w:tc>
          <w:tcPr>
            <w:tcW w:w="545" w:type="dxa"/>
            <w:shd w:val="clear" w:color="auto" w:fill="C2D69B" w:themeFill="accent3" w:themeFillTint="99"/>
          </w:tcPr>
          <w:p w14:paraId="7136F94B"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6506A03E"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4A3E4543"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D9D9" w:themeFill="background1" w:themeFillShade="D9"/>
          </w:tcPr>
          <w:p w14:paraId="51F3F3E8" w14:textId="1A1D2C75"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r w:rsidR="00D348C8" w:rsidRPr="004F73C6" w14:paraId="5492007C" w14:textId="77777777" w:rsidTr="00EE626B">
        <w:tc>
          <w:tcPr>
            <w:tcW w:w="581" w:type="dxa"/>
          </w:tcPr>
          <w:p w14:paraId="3C45BC7B" w14:textId="0DCB1700"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1.1B</w:t>
            </w:r>
          </w:p>
        </w:tc>
        <w:tc>
          <w:tcPr>
            <w:tcW w:w="7165" w:type="dxa"/>
          </w:tcPr>
          <w:p w14:paraId="4B07FBD9" w14:textId="2881C1B3"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older people and their associations monitoring delivery of or cash transfer/Social Protection programmes</w:t>
            </w:r>
          </w:p>
        </w:tc>
        <w:tc>
          <w:tcPr>
            <w:tcW w:w="545" w:type="dxa"/>
            <w:shd w:val="clear" w:color="auto" w:fill="C2D69B" w:themeFill="accent3" w:themeFillTint="99"/>
          </w:tcPr>
          <w:p w14:paraId="0C55A20E"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4C36ADFB"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68BD472E"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D9D9" w:themeFill="background1" w:themeFillShade="D9"/>
          </w:tcPr>
          <w:p w14:paraId="4060971D" w14:textId="6C3F447E"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r w:rsidR="00D348C8" w:rsidRPr="004F73C6" w14:paraId="0EB2A711" w14:textId="77777777" w:rsidTr="00EE626B">
        <w:tc>
          <w:tcPr>
            <w:tcW w:w="10065" w:type="dxa"/>
            <w:gridSpan w:val="6"/>
          </w:tcPr>
          <w:p w14:paraId="3F17CA24" w14:textId="63CA682E" w:rsidR="00D348C8" w:rsidRPr="004F73C6" w:rsidRDefault="00D348C8" w:rsidP="00D348C8">
            <w:pPr>
              <w:tabs>
                <w:tab w:val="num" w:pos="540"/>
              </w:tabs>
              <w:jc w:val="both"/>
              <w:rPr>
                <w:rFonts w:ascii="Arial Narrow" w:eastAsia="Calibri" w:hAnsi="Arial Narrow" w:cs="Arial"/>
                <w:b/>
                <w:sz w:val="18"/>
                <w:szCs w:val="18"/>
                <w:lang w:val="en-GB"/>
              </w:rPr>
            </w:pPr>
            <w:r w:rsidRPr="004F73C6">
              <w:rPr>
                <w:rFonts w:ascii="Arial Narrow" w:eastAsia="Calibri" w:hAnsi="Arial Narrow" w:cs="Arial"/>
                <w:b/>
                <w:sz w:val="18"/>
                <w:szCs w:val="18"/>
                <w:lang w:val="en-GB"/>
              </w:rPr>
              <w:t xml:space="preserve">Output 1.2: </w:t>
            </w:r>
            <w:r w:rsidRPr="004F73C6">
              <w:rPr>
                <w:rFonts w:ascii="Arial Narrow" w:eastAsia="Calibri" w:hAnsi="Arial Narrow" w:cs="Arial"/>
                <w:sz w:val="18"/>
                <w:szCs w:val="18"/>
                <w:lang w:val="en-GB"/>
              </w:rPr>
              <w:t>Capacity of governments to deliver accessible social protection programmes for older people increased</w:t>
            </w:r>
          </w:p>
        </w:tc>
      </w:tr>
      <w:tr w:rsidR="00D348C8" w:rsidRPr="004F73C6" w14:paraId="0C0C8C11" w14:textId="77777777" w:rsidTr="00EE626B">
        <w:tc>
          <w:tcPr>
            <w:tcW w:w="581" w:type="dxa"/>
          </w:tcPr>
          <w:p w14:paraId="6157DF1E" w14:textId="433E15F8"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1.2A</w:t>
            </w:r>
          </w:p>
        </w:tc>
        <w:tc>
          <w:tcPr>
            <w:tcW w:w="7165" w:type="dxa"/>
          </w:tcPr>
          <w:p w14:paraId="76BFDE6F" w14:textId="68410576"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requests hono</w:t>
            </w:r>
            <w:r w:rsidR="00185E95" w:rsidRPr="004F73C6">
              <w:rPr>
                <w:rFonts w:ascii="Arial Narrow" w:eastAsia="Calibri" w:hAnsi="Arial Narrow" w:cs="Arial"/>
                <w:sz w:val="18"/>
                <w:szCs w:val="18"/>
                <w:lang w:val="en-GB"/>
              </w:rPr>
              <w:t>u</w:t>
            </w:r>
            <w:r w:rsidRPr="004F73C6">
              <w:rPr>
                <w:rFonts w:ascii="Arial Narrow" w:eastAsia="Calibri" w:hAnsi="Arial Narrow" w:cs="Arial"/>
                <w:sz w:val="18"/>
                <w:szCs w:val="18"/>
                <w:lang w:val="en-GB"/>
              </w:rPr>
              <w:t>red to HelpAge International to provide technical advice on Social Protection and cash transfers by govt. and donors</w:t>
            </w:r>
          </w:p>
        </w:tc>
        <w:tc>
          <w:tcPr>
            <w:tcW w:w="545" w:type="dxa"/>
            <w:shd w:val="clear" w:color="auto" w:fill="C2D69B" w:themeFill="accent3" w:themeFillTint="99"/>
          </w:tcPr>
          <w:p w14:paraId="39C54F6C"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6184A8E4"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395017AF"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D9D9" w:themeFill="background1" w:themeFillShade="D9"/>
          </w:tcPr>
          <w:p w14:paraId="50A95AC8" w14:textId="52337442"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r w:rsidR="00D348C8" w:rsidRPr="004F73C6" w14:paraId="3BC72CFF" w14:textId="77777777" w:rsidTr="00EE626B">
        <w:tc>
          <w:tcPr>
            <w:tcW w:w="581" w:type="dxa"/>
          </w:tcPr>
          <w:p w14:paraId="277E25E0" w14:textId="3FDDA30F"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1.2B</w:t>
            </w:r>
          </w:p>
        </w:tc>
        <w:tc>
          <w:tcPr>
            <w:tcW w:w="7165" w:type="dxa"/>
          </w:tcPr>
          <w:p w14:paraId="2D7FC822" w14:textId="262BC56E" w:rsidR="00D348C8" w:rsidRPr="004F73C6" w:rsidRDefault="00D348C8"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Member of Parliaments / Party Groups/Parliamentary groups supporting Social Protection policies for Older People</w:t>
            </w:r>
          </w:p>
        </w:tc>
        <w:tc>
          <w:tcPr>
            <w:tcW w:w="545" w:type="dxa"/>
            <w:shd w:val="clear" w:color="auto" w:fill="C2D69B" w:themeFill="accent3" w:themeFillTint="99"/>
          </w:tcPr>
          <w:p w14:paraId="1A2D9E50"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631F345C"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tcPr>
          <w:p w14:paraId="3F288A55" w14:textId="0550AD20" w:rsidR="00D348C8" w:rsidRPr="004F73C6" w:rsidRDefault="00D348C8" w:rsidP="00922FFD">
            <w:pPr>
              <w:tabs>
                <w:tab w:val="num" w:pos="540"/>
              </w:tabs>
              <w:jc w:val="center"/>
              <w:rPr>
                <w:rFonts w:ascii="Arial Narrow" w:eastAsia="Calibri" w:hAnsi="Arial Narrow" w:cs="Arial"/>
                <w:sz w:val="18"/>
                <w:szCs w:val="18"/>
                <w:lang w:val="en-GB"/>
              </w:rPr>
            </w:pPr>
          </w:p>
        </w:tc>
        <w:tc>
          <w:tcPr>
            <w:tcW w:w="567" w:type="dxa"/>
            <w:shd w:val="clear" w:color="auto" w:fill="D9D9D9" w:themeFill="background1" w:themeFillShade="D9"/>
          </w:tcPr>
          <w:p w14:paraId="114FC1B6" w14:textId="1AFFE3C4" w:rsidR="00D348C8" w:rsidRPr="004F73C6" w:rsidRDefault="00DF1D1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N/A</w:t>
            </w:r>
          </w:p>
        </w:tc>
      </w:tr>
    </w:tbl>
    <w:p w14:paraId="7CDB9A58" w14:textId="77777777" w:rsidR="0099317B" w:rsidRPr="004F73C6" w:rsidRDefault="0099317B" w:rsidP="0099317B">
      <w:pPr>
        <w:spacing w:after="0"/>
        <w:rPr>
          <w:lang w:val="en-GB"/>
        </w:rPr>
      </w:pPr>
    </w:p>
    <w:tbl>
      <w:tblPr>
        <w:tblStyle w:val="TableGrid"/>
        <w:tblW w:w="10065" w:type="dxa"/>
        <w:tblLayout w:type="fixed"/>
        <w:tblLook w:val="04A0" w:firstRow="1" w:lastRow="0" w:firstColumn="1" w:lastColumn="0" w:noHBand="0" w:noVBand="1"/>
      </w:tblPr>
      <w:tblGrid>
        <w:gridCol w:w="581"/>
        <w:gridCol w:w="7165"/>
        <w:gridCol w:w="545"/>
        <w:gridCol w:w="640"/>
        <w:gridCol w:w="567"/>
        <w:gridCol w:w="567"/>
      </w:tblGrid>
      <w:tr w:rsidR="00CE5067" w:rsidRPr="004F73C6" w14:paraId="5893F65A" w14:textId="77777777" w:rsidTr="00EE626B">
        <w:tc>
          <w:tcPr>
            <w:tcW w:w="10065" w:type="dxa"/>
            <w:gridSpan w:val="6"/>
            <w:shd w:val="clear" w:color="auto" w:fill="D9D9D9" w:themeFill="background1" w:themeFillShade="D9"/>
          </w:tcPr>
          <w:p w14:paraId="67FFBA1E" w14:textId="42B8D037" w:rsidR="0099317B" w:rsidRPr="004F73C6" w:rsidRDefault="00CE5067" w:rsidP="00D348C8">
            <w:pPr>
              <w:tabs>
                <w:tab w:val="num" w:pos="540"/>
              </w:tabs>
              <w:jc w:val="both"/>
              <w:rPr>
                <w:rFonts w:ascii="Arial Narrow" w:eastAsia="Calibri" w:hAnsi="Arial Narrow" w:cs="Arial"/>
                <w:b/>
                <w:i/>
                <w:sz w:val="18"/>
                <w:szCs w:val="18"/>
                <w:lang w:val="en-GB"/>
              </w:rPr>
            </w:pPr>
            <w:r w:rsidRPr="004F73C6">
              <w:rPr>
                <w:rFonts w:ascii="Arial Narrow" w:eastAsia="Calibri" w:hAnsi="Arial Narrow" w:cs="Arial"/>
                <w:b/>
                <w:sz w:val="18"/>
                <w:szCs w:val="18"/>
                <w:lang w:val="en-GB"/>
              </w:rPr>
              <w:t>Outcome 2</w:t>
            </w:r>
            <w:r w:rsidRPr="004F73C6">
              <w:rPr>
                <w:rFonts w:ascii="Arial Narrow" w:eastAsia="Calibri" w:hAnsi="Arial Narrow" w:cs="Arial"/>
                <w:b/>
                <w:i/>
                <w:sz w:val="18"/>
                <w:szCs w:val="18"/>
                <w:lang w:val="en-GB"/>
              </w:rPr>
              <w:t>:  Older men and women access age-friendly health and HIV programmes</w:t>
            </w:r>
          </w:p>
        </w:tc>
      </w:tr>
      <w:tr w:rsidR="00D348C8" w:rsidRPr="004F73C6" w14:paraId="360D48C6" w14:textId="77777777" w:rsidTr="00EE626B">
        <w:tc>
          <w:tcPr>
            <w:tcW w:w="581" w:type="dxa"/>
          </w:tcPr>
          <w:p w14:paraId="3F5EB249" w14:textId="029EBB65" w:rsidR="00D348C8" w:rsidRPr="004F73C6" w:rsidRDefault="00B12BE2"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2A</w:t>
            </w:r>
          </w:p>
        </w:tc>
        <w:tc>
          <w:tcPr>
            <w:tcW w:w="7165" w:type="dxa"/>
          </w:tcPr>
          <w:p w14:paraId="2EEA8153" w14:textId="40BFFB26" w:rsidR="00B12BE2" w:rsidRPr="004F73C6" w:rsidRDefault="00B12BE2"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primary healthcare centre delivering age-friendly services</w:t>
            </w:r>
          </w:p>
        </w:tc>
        <w:tc>
          <w:tcPr>
            <w:tcW w:w="545" w:type="dxa"/>
            <w:shd w:val="clear" w:color="auto" w:fill="D99594" w:themeFill="accent2" w:themeFillTint="99"/>
          </w:tcPr>
          <w:p w14:paraId="757008B8"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660B6431"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5E0F94A0"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9594" w:themeFill="accent2" w:themeFillTint="99"/>
          </w:tcPr>
          <w:p w14:paraId="16C59C63" w14:textId="77777777" w:rsidR="00D348C8" w:rsidRPr="004F73C6" w:rsidRDefault="00D348C8" w:rsidP="00D348C8">
            <w:pPr>
              <w:tabs>
                <w:tab w:val="num" w:pos="540"/>
              </w:tabs>
              <w:jc w:val="both"/>
              <w:rPr>
                <w:rFonts w:ascii="Arial Narrow" w:eastAsia="Calibri" w:hAnsi="Arial Narrow" w:cs="Arial"/>
                <w:sz w:val="18"/>
                <w:szCs w:val="18"/>
                <w:lang w:val="en-GB"/>
              </w:rPr>
            </w:pPr>
          </w:p>
        </w:tc>
      </w:tr>
      <w:tr w:rsidR="00D348C8" w:rsidRPr="004F73C6" w14:paraId="40C0AB03" w14:textId="77777777" w:rsidTr="00EE626B">
        <w:tc>
          <w:tcPr>
            <w:tcW w:w="581" w:type="dxa"/>
          </w:tcPr>
          <w:p w14:paraId="53CFB4D6" w14:textId="1E87C625" w:rsidR="00D348C8" w:rsidRPr="004F73C6" w:rsidRDefault="00B12BE2"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2B</w:t>
            </w:r>
          </w:p>
        </w:tc>
        <w:tc>
          <w:tcPr>
            <w:tcW w:w="7165" w:type="dxa"/>
          </w:tcPr>
          <w:p w14:paraId="62595054" w14:textId="2012AC8F" w:rsidR="00B12BE2" w:rsidRPr="004F73C6" w:rsidRDefault="00B12BE2"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healthcare centres that make use of disaggregated data by age and sex</w:t>
            </w:r>
          </w:p>
        </w:tc>
        <w:tc>
          <w:tcPr>
            <w:tcW w:w="545" w:type="dxa"/>
            <w:shd w:val="clear" w:color="auto" w:fill="D99594" w:themeFill="accent2" w:themeFillTint="99"/>
          </w:tcPr>
          <w:p w14:paraId="176B9783"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15A02CC6"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3CE2538A"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9594" w:themeFill="accent2" w:themeFillTint="99"/>
          </w:tcPr>
          <w:p w14:paraId="51ABA408" w14:textId="77777777" w:rsidR="00D348C8" w:rsidRPr="004F73C6" w:rsidRDefault="00D348C8" w:rsidP="00D348C8">
            <w:pPr>
              <w:tabs>
                <w:tab w:val="num" w:pos="540"/>
              </w:tabs>
              <w:jc w:val="both"/>
              <w:rPr>
                <w:rFonts w:ascii="Arial Narrow" w:eastAsia="Calibri" w:hAnsi="Arial Narrow" w:cs="Arial"/>
                <w:sz w:val="18"/>
                <w:szCs w:val="18"/>
                <w:lang w:val="en-GB"/>
              </w:rPr>
            </w:pPr>
          </w:p>
        </w:tc>
      </w:tr>
      <w:tr w:rsidR="00D348C8" w:rsidRPr="004F73C6" w14:paraId="3D3BD88A" w14:textId="77777777" w:rsidTr="00EE626B">
        <w:tc>
          <w:tcPr>
            <w:tcW w:w="581" w:type="dxa"/>
          </w:tcPr>
          <w:p w14:paraId="3A6D5F57" w14:textId="59C9329D" w:rsidR="00D348C8" w:rsidRPr="004F73C6" w:rsidRDefault="00B12BE2"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2C</w:t>
            </w:r>
          </w:p>
        </w:tc>
        <w:tc>
          <w:tcPr>
            <w:tcW w:w="7165" w:type="dxa"/>
          </w:tcPr>
          <w:p w14:paraId="10EF70DD" w14:textId="0772B5EE" w:rsidR="00B12BE2" w:rsidRPr="004F73C6" w:rsidRDefault="00B12BE2"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older persons self-reporting to have accessed age-friendly healthcare services</w:t>
            </w:r>
          </w:p>
        </w:tc>
        <w:tc>
          <w:tcPr>
            <w:tcW w:w="545" w:type="dxa"/>
            <w:shd w:val="clear" w:color="auto" w:fill="D99594" w:themeFill="accent2" w:themeFillTint="99"/>
          </w:tcPr>
          <w:p w14:paraId="4CC9831C"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tcPr>
          <w:p w14:paraId="69B7A52E" w14:textId="1071FCCB" w:rsidR="00D348C8" w:rsidRPr="004F73C6" w:rsidRDefault="00D348C8" w:rsidP="00400C1F">
            <w:pPr>
              <w:tabs>
                <w:tab w:val="num" w:pos="540"/>
              </w:tabs>
              <w:jc w:val="center"/>
              <w:rPr>
                <w:rFonts w:ascii="Arial Narrow" w:eastAsia="Calibri" w:hAnsi="Arial Narrow" w:cs="Arial"/>
                <w:sz w:val="18"/>
                <w:szCs w:val="18"/>
                <w:lang w:val="en-GB"/>
              </w:rPr>
            </w:pPr>
          </w:p>
        </w:tc>
        <w:tc>
          <w:tcPr>
            <w:tcW w:w="567" w:type="dxa"/>
          </w:tcPr>
          <w:p w14:paraId="4548D803" w14:textId="2C5693D4" w:rsidR="00D348C8" w:rsidRPr="004F73C6" w:rsidRDefault="00D348C8" w:rsidP="00922FFD">
            <w:pPr>
              <w:tabs>
                <w:tab w:val="num" w:pos="540"/>
              </w:tabs>
              <w:jc w:val="center"/>
              <w:rPr>
                <w:rFonts w:ascii="Arial Narrow" w:eastAsia="Calibri" w:hAnsi="Arial Narrow" w:cs="Arial"/>
                <w:sz w:val="18"/>
                <w:szCs w:val="18"/>
                <w:lang w:val="en-GB"/>
              </w:rPr>
            </w:pPr>
          </w:p>
        </w:tc>
        <w:tc>
          <w:tcPr>
            <w:tcW w:w="567" w:type="dxa"/>
          </w:tcPr>
          <w:p w14:paraId="1693C010" w14:textId="09841CEE" w:rsidR="00D348C8" w:rsidRPr="004F73C6" w:rsidRDefault="00D348C8" w:rsidP="00DF1D10">
            <w:pPr>
              <w:tabs>
                <w:tab w:val="num" w:pos="540"/>
              </w:tabs>
              <w:jc w:val="center"/>
              <w:rPr>
                <w:rFonts w:ascii="Arial Narrow" w:eastAsia="Calibri" w:hAnsi="Arial Narrow" w:cs="Arial"/>
                <w:sz w:val="18"/>
                <w:szCs w:val="18"/>
                <w:lang w:val="en-GB"/>
              </w:rPr>
            </w:pPr>
          </w:p>
        </w:tc>
      </w:tr>
      <w:tr w:rsidR="00982D3D" w:rsidRPr="004F73C6" w14:paraId="684A153E" w14:textId="77777777" w:rsidTr="00EE626B">
        <w:tc>
          <w:tcPr>
            <w:tcW w:w="10065" w:type="dxa"/>
            <w:gridSpan w:val="6"/>
          </w:tcPr>
          <w:p w14:paraId="53D9DEED" w14:textId="387DBFFC" w:rsidR="00982D3D" w:rsidRPr="004F73C6" w:rsidRDefault="00982D3D"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b/>
                <w:sz w:val="18"/>
                <w:szCs w:val="18"/>
                <w:lang w:val="en-GB"/>
              </w:rPr>
              <w:t xml:space="preserve">Output 2.1: </w:t>
            </w:r>
            <w:r w:rsidRPr="004F73C6">
              <w:rPr>
                <w:rFonts w:ascii="Arial Narrow" w:eastAsia="Calibri" w:hAnsi="Arial Narrow" w:cs="Arial"/>
                <w:sz w:val="18"/>
                <w:szCs w:val="18"/>
                <w:lang w:val="en-GB"/>
              </w:rPr>
              <w:t>Capacity of governments and other service providers to deliver age-friendly HIV and Health programmes for older people increased</w:t>
            </w:r>
          </w:p>
        </w:tc>
      </w:tr>
      <w:tr w:rsidR="00D348C8" w:rsidRPr="004F73C6" w14:paraId="65B0A946" w14:textId="77777777" w:rsidTr="00EE626B">
        <w:tc>
          <w:tcPr>
            <w:tcW w:w="581" w:type="dxa"/>
          </w:tcPr>
          <w:p w14:paraId="7D1DE1FB" w14:textId="28313066" w:rsidR="00D348C8" w:rsidRPr="004F73C6" w:rsidRDefault="000D1C4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2.1A</w:t>
            </w:r>
          </w:p>
        </w:tc>
        <w:tc>
          <w:tcPr>
            <w:tcW w:w="7165" w:type="dxa"/>
          </w:tcPr>
          <w:p w14:paraId="7E73610D" w14:textId="56BA25FB" w:rsidR="000D1C44" w:rsidRPr="004F73C6" w:rsidRDefault="000D1C4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health staff using training materials in providing age-inclusive services</w:t>
            </w:r>
          </w:p>
        </w:tc>
        <w:tc>
          <w:tcPr>
            <w:tcW w:w="545" w:type="dxa"/>
            <w:shd w:val="clear" w:color="auto" w:fill="C2D69B" w:themeFill="accent3" w:themeFillTint="99"/>
          </w:tcPr>
          <w:p w14:paraId="2B5F2E21"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7D796BF2"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D99594" w:themeFill="accent2" w:themeFillTint="99"/>
          </w:tcPr>
          <w:p w14:paraId="362F1974" w14:textId="77777777" w:rsidR="00D348C8" w:rsidRPr="004F73C6" w:rsidRDefault="00D348C8"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47F03867" w14:textId="77777777" w:rsidR="00D348C8" w:rsidRPr="004F73C6" w:rsidRDefault="00D348C8" w:rsidP="00D348C8">
            <w:pPr>
              <w:tabs>
                <w:tab w:val="num" w:pos="540"/>
              </w:tabs>
              <w:jc w:val="both"/>
              <w:rPr>
                <w:rFonts w:ascii="Arial Narrow" w:eastAsia="Calibri" w:hAnsi="Arial Narrow" w:cs="Arial"/>
                <w:sz w:val="18"/>
                <w:szCs w:val="18"/>
                <w:lang w:val="en-GB"/>
              </w:rPr>
            </w:pPr>
          </w:p>
        </w:tc>
      </w:tr>
      <w:tr w:rsidR="000D1C44" w:rsidRPr="004F73C6" w14:paraId="66300066" w14:textId="77777777" w:rsidTr="00EE626B">
        <w:tc>
          <w:tcPr>
            <w:tcW w:w="581" w:type="dxa"/>
          </w:tcPr>
          <w:p w14:paraId="3CB520C0" w14:textId="021A6F15" w:rsidR="000D1C44" w:rsidRPr="004F73C6" w:rsidRDefault="000D1C4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2.1B</w:t>
            </w:r>
          </w:p>
        </w:tc>
        <w:tc>
          <w:tcPr>
            <w:tcW w:w="7165" w:type="dxa"/>
          </w:tcPr>
          <w:p w14:paraId="0BB6431D" w14:textId="49B65827" w:rsidR="000D1C44" w:rsidRPr="004F73C6" w:rsidRDefault="000D1C4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older people and their associations monitoring delivery of health services and reporting barriers and discrimination</w:t>
            </w:r>
          </w:p>
        </w:tc>
        <w:tc>
          <w:tcPr>
            <w:tcW w:w="545" w:type="dxa"/>
            <w:shd w:val="clear" w:color="auto" w:fill="C2D69B" w:themeFill="accent3" w:themeFillTint="99"/>
          </w:tcPr>
          <w:p w14:paraId="6A396F72"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3875664B"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D99594" w:themeFill="accent2" w:themeFillTint="99"/>
          </w:tcPr>
          <w:p w14:paraId="0AE22B15"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219B8452" w14:textId="77777777" w:rsidR="000D1C44" w:rsidRPr="004F73C6" w:rsidRDefault="000D1C44" w:rsidP="00D348C8">
            <w:pPr>
              <w:tabs>
                <w:tab w:val="num" w:pos="540"/>
              </w:tabs>
              <w:jc w:val="both"/>
              <w:rPr>
                <w:rFonts w:ascii="Arial Narrow" w:eastAsia="Calibri" w:hAnsi="Arial Narrow" w:cs="Arial"/>
                <w:sz w:val="18"/>
                <w:szCs w:val="18"/>
                <w:lang w:val="en-GB"/>
              </w:rPr>
            </w:pPr>
          </w:p>
        </w:tc>
      </w:tr>
      <w:tr w:rsidR="006C2BEA" w:rsidRPr="004F73C6" w14:paraId="00390EB6" w14:textId="77777777" w:rsidTr="00EE626B">
        <w:tc>
          <w:tcPr>
            <w:tcW w:w="10065" w:type="dxa"/>
            <w:gridSpan w:val="6"/>
          </w:tcPr>
          <w:p w14:paraId="54C0B6FE" w14:textId="6BC291C3" w:rsidR="006C2BEA" w:rsidRPr="004F73C6" w:rsidRDefault="006C2BEA"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b/>
                <w:sz w:val="18"/>
                <w:szCs w:val="18"/>
                <w:lang w:val="en-GB"/>
              </w:rPr>
              <w:t xml:space="preserve">Output 2.2: </w:t>
            </w:r>
            <w:r w:rsidRPr="004F73C6">
              <w:rPr>
                <w:rFonts w:ascii="Arial Narrow" w:eastAsia="Calibri" w:hAnsi="Arial Narrow" w:cs="Arial"/>
                <w:sz w:val="18"/>
                <w:szCs w:val="18"/>
                <w:lang w:val="en-GB"/>
              </w:rPr>
              <w:t>Older people and their dependants have increased access to ARTs and necessary health services to support treatment &amp; prevention</w:t>
            </w:r>
          </w:p>
        </w:tc>
      </w:tr>
      <w:tr w:rsidR="000D1C44" w:rsidRPr="004F73C6" w14:paraId="71A3C2F0" w14:textId="77777777" w:rsidTr="00EE626B">
        <w:tc>
          <w:tcPr>
            <w:tcW w:w="581" w:type="dxa"/>
          </w:tcPr>
          <w:p w14:paraId="27F606D4" w14:textId="46E41AA0" w:rsidR="000D1C44" w:rsidRPr="004F73C6" w:rsidRDefault="00FD5D9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2.2A</w:t>
            </w:r>
          </w:p>
        </w:tc>
        <w:tc>
          <w:tcPr>
            <w:tcW w:w="7165" w:type="dxa"/>
          </w:tcPr>
          <w:p w14:paraId="2470BB06" w14:textId="3E4FE2B4" w:rsidR="00A4565D" w:rsidRPr="004F73C6" w:rsidRDefault="00FD5D9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HIV-positive older people accessing ART and VCT services</w:t>
            </w:r>
          </w:p>
        </w:tc>
        <w:tc>
          <w:tcPr>
            <w:tcW w:w="545" w:type="dxa"/>
            <w:shd w:val="clear" w:color="auto" w:fill="D99594" w:themeFill="accent2" w:themeFillTint="99"/>
          </w:tcPr>
          <w:p w14:paraId="13C3AC66"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640" w:type="dxa"/>
          </w:tcPr>
          <w:p w14:paraId="54B98904" w14:textId="5FDF0307" w:rsidR="000D1C44" w:rsidRPr="004F73C6" w:rsidRDefault="000D1C44" w:rsidP="00400C1F">
            <w:pPr>
              <w:tabs>
                <w:tab w:val="num" w:pos="540"/>
              </w:tabs>
              <w:jc w:val="center"/>
              <w:rPr>
                <w:rFonts w:ascii="Arial Narrow" w:eastAsia="Calibri" w:hAnsi="Arial Narrow" w:cs="Arial"/>
                <w:sz w:val="18"/>
                <w:szCs w:val="18"/>
                <w:lang w:val="en-GB"/>
              </w:rPr>
            </w:pPr>
          </w:p>
        </w:tc>
        <w:tc>
          <w:tcPr>
            <w:tcW w:w="567" w:type="dxa"/>
            <w:shd w:val="clear" w:color="auto" w:fill="D99594" w:themeFill="accent2" w:themeFillTint="99"/>
          </w:tcPr>
          <w:p w14:paraId="6CCA2EA0"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236B979A" w14:textId="77777777" w:rsidR="000D1C44" w:rsidRPr="004F73C6" w:rsidRDefault="000D1C44" w:rsidP="00D348C8">
            <w:pPr>
              <w:tabs>
                <w:tab w:val="num" w:pos="540"/>
              </w:tabs>
              <w:jc w:val="both"/>
              <w:rPr>
                <w:rFonts w:ascii="Arial Narrow" w:eastAsia="Calibri" w:hAnsi="Arial Narrow" w:cs="Arial"/>
                <w:sz w:val="18"/>
                <w:szCs w:val="18"/>
                <w:lang w:val="en-GB"/>
              </w:rPr>
            </w:pPr>
          </w:p>
        </w:tc>
      </w:tr>
      <w:tr w:rsidR="000D1C44" w:rsidRPr="004F73C6" w14:paraId="316AF9B6" w14:textId="77777777" w:rsidTr="00EE626B">
        <w:tc>
          <w:tcPr>
            <w:tcW w:w="581" w:type="dxa"/>
          </w:tcPr>
          <w:p w14:paraId="5C5566C8" w14:textId="37DE3F99" w:rsidR="000D1C44" w:rsidRPr="004F73C6" w:rsidRDefault="00FD5D9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2.2B</w:t>
            </w:r>
          </w:p>
        </w:tc>
        <w:tc>
          <w:tcPr>
            <w:tcW w:w="7165" w:type="dxa"/>
          </w:tcPr>
          <w:p w14:paraId="5354EECE" w14:textId="19B8E909" w:rsidR="00A4565D" w:rsidRPr="004F73C6" w:rsidRDefault="00FD5D90"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Older People accessing ART treatment who are in continued treatment after 12 months.</w:t>
            </w:r>
          </w:p>
        </w:tc>
        <w:tc>
          <w:tcPr>
            <w:tcW w:w="545" w:type="dxa"/>
            <w:shd w:val="clear" w:color="auto" w:fill="D99594" w:themeFill="accent2" w:themeFillTint="99"/>
          </w:tcPr>
          <w:p w14:paraId="7C5A411B"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2D8094B5"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tcPr>
          <w:p w14:paraId="38D5ACCF" w14:textId="5AB4A9B2" w:rsidR="000D1C44" w:rsidRPr="004F73C6" w:rsidRDefault="000D1C44" w:rsidP="00215C05">
            <w:pPr>
              <w:tabs>
                <w:tab w:val="num" w:pos="540"/>
              </w:tabs>
              <w:jc w:val="center"/>
              <w:rPr>
                <w:rFonts w:ascii="Arial Narrow" w:eastAsia="Calibri" w:hAnsi="Arial Narrow" w:cs="Arial"/>
                <w:sz w:val="18"/>
                <w:szCs w:val="18"/>
                <w:lang w:val="en-GB"/>
              </w:rPr>
            </w:pPr>
          </w:p>
        </w:tc>
        <w:tc>
          <w:tcPr>
            <w:tcW w:w="567" w:type="dxa"/>
            <w:shd w:val="clear" w:color="auto" w:fill="C2D69B" w:themeFill="accent3" w:themeFillTint="99"/>
          </w:tcPr>
          <w:p w14:paraId="78535EDB" w14:textId="77777777" w:rsidR="000D1C44" w:rsidRPr="004F73C6" w:rsidRDefault="000D1C44" w:rsidP="00D348C8">
            <w:pPr>
              <w:tabs>
                <w:tab w:val="num" w:pos="540"/>
              </w:tabs>
              <w:jc w:val="both"/>
              <w:rPr>
                <w:rFonts w:ascii="Arial Narrow" w:eastAsia="Calibri" w:hAnsi="Arial Narrow" w:cs="Arial"/>
                <w:sz w:val="18"/>
                <w:szCs w:val="18"/>
                <w:lang w:val="en-GB"/>
              </w:rPr>
            </w:pPr>
          </w:p>
        </w:tc>
      </w:tr>
    </w:tbl>
    <w:p w14:paraId="0FBD1583" w14:textId="77777777" w:rsidR="0099317B" w:rsidRPr="004F73C6" w:rsidRDefault="0099317B" w:rsidP="0099317B">
      <w:pPr>
        <w:spacing w:after="0"/>
        <w:rPr>
          <w:lang w:val="en-GB"/>
        </w:rPr>
      </w:pPr>
    </w:p>
    <w:tbl>
      <w:tblPr>
        <w:tblStyle w:val="TableGrid"/>
        <w:tblW w:w="10065" w:type="dxa"/>
        <w:tblLayout w:type="fixed"/>
        <w:tblLook w:val="04A0" w:firstRow="1" w:lastRow="0" w:firstColumn="1" w:lastColumn="0" w:noHBand="0" w:noVBand="1"/>
      </w:tblPr>
      <w:tblGrid>
        <w:gridCol w:w="581"/>
        <w:gridCol w:w="7165"/>
        <w:gridCol w:w="545"/>
        <w:gridCol w:w="640"/>
        <w:gridCol w:w="567"/>
        <w:gridCol w:w="567"/>
      </w:tblGrid>
      <w:tr w:rsidR="00FD5D90" w:rsidRPr="004F73C6" w14:paraId="12EAB7CE" w14:textId="77777777" w:rsidTr="00EE626B">
        <w:tc>
          <w:tcPr>
            <w:tcW w:w="10065" w:type="dxa"/>
            <w:gridSpan w:val="6"/>
            <w:shd w:val="clear" w:color="auto" w:fill="D9D9D9" w:themeFill="background1" w:themeFillShade="D9"/>
          </w:tcPr>
          <w:p w14:paraId="3BADBAF9" w14:textId="6DF17F7D" w:rsidR="00FD5D90" w:rsidRPr="004F73C6" w:rsidRDefault="00FD5D90" w:rsidP="007246EE">
            <w:pPr>
              <w:tabs>
                <w:tab w:val="num" w:pos="540"/>
              </w:tabs>
              <w:jc w:val="both"/>
              <w:rPr>
                <w:rFonts w:ascii="Arial Narrow" w:eastAsia="Calibri" w:hAnsi="Arial Narrow" w:cs="Arial"/>
                <w:sz w:val="18"/>
                <w:szCs w:val="18"/>
                <w:lang w:val="en-GB"/>
              </w:rPr>
            </w:pPr>
            <w:r w:rsidRPr="004F73C6">
              <w:rPr>
                <w:rFonts w:ascii="Arial Narrow" w:eastAsia="Calibri" w:hAnsi="Arial Narrow" w:cs="Arial"/>
                <w:b/>
                <w:sz w:val="18"/>
                <w:szCs w:val="18"/>
                <w:lang w:val="en-GB"/>
              </w:rPr>
              <w:t xml:space="preserve">Outcome 3: </w:t>
            </w:r>
            <w:r w:rsidRPr="004F73C6">
              <w:rPr>
                <w:rFonts w:ascii="Arial Narrow" w:eastAsia="Calibri" w:hAnsi="Arial Narrow" w:cs="Arial"/>
                <w:b/>
                <w:i/>
                <w:sz w:val="18"/>
                <w:szCs w:val="18"/>
                <w:lang w:val="en-GB"/>
              </w:rPr>
              <w:t xml:space="preserve">Older people’s rights, </w:t>
            </w:r>
            <w:r w:rsidR="007246EE" w:rsidRPr="004F73C6">
              <w:rPr>
                <w:rFonts w:ascii="Arial Narrow" w:eastAsia="Calibri" w:hAnsi="Arial Narrow" w:cs="Arial"/>
                <w:b/>
                <w:i/>
                <w:sz w:val="18"/>
                <w:szCs w:val="18"/>
                <w:lang w:val="en-GB"/>
              </w:rPr>
              <w:t xml:space="preserve">their </w:t>
            </w:r>
            <w:r w:rsidRPr="004F73C6">
              <w:rPr>
                <w:rFonts w:ascii="Arial Narrow" w:eastAsia="Calibri" w:hAnsi="Arial Narrow" w:cs="Arial"/>
                <w:b/>
                <w:i/>
                <w:sz w:val="18"/>
                <w:szCs w:val="18"/>
                <w:lang w:val="en-GB"/>
              </w:rPr>
              <w:t>access to social prot</w:t>
            </w:r>
            <w:r w:rsidR="007246EE" w:rsidRPr="004F73C6">
              <w:rPr>
                <w:rFonts w:ascii="Arial Narrow" w:eastAsia="Calibri" w:hAnsi="Arial Narrow" w:cs="Arial"/>
                <w:b/>
                <w:i/>
                <w:sz w:val="18"/>
                <w:szCs w:val="18"/>
                <w:lang w:val="en-GB"/>
              </w:rPr>
              <w:t xml:space="preserve">ection </w:t>
            </w:r>
            <w:r w:rsidR="0029676D" w:rsidRPr="004F73C6">
              <w:rPr>
                <w:rFonts w:ascii="Arial Narrow" w:eastAsia="Calibri" w:hAnsi="Arial Narrow" w:cs="Arial"/>
                <w:b/>
                <w:i/>
                <w:sz w:val="18"/>
                <w:szCs w:val="18"/>
                <w:lang w:val="en-GB"/>
              </w:rPr>
              <w:t xml:space="preserve">and </w:t>
            </w:r>
            <w:r w:rsidR="007246EE" w:rsidRPr="004F73C6">
              <w:rPr>
                <w:rFonts w:ascii="Arial Narrow" w:eastAsia="Calibri" w:hAnsi="Arial Narrow" w:cs="Arial"/>
                <w:b/>
                <w:i/>
                <w:sz w:val="18"/>
                <w:szCs w:val="18"/>
                <w:lang w:val="en-GB"/>
              </w:rPr>
              <w:t>quality health-</w:t>
            </w:r>
            <w:r w:rsidRPr="004F73C6">
              <w:rPr>
                <w:rFonts w:ascii="Arial Narrow" w:eastAsia="Calibri" w:hAnsi="Arial Narrow" w:cs="Arial"/>
                <w:b/>
                <w:i/>
                <w:sz w:val="18"/>
                <w:szCs w:val="18"/>
                <w:lang w:val="en-GB"/>
              </w:rPr>
              <w:t>care is reflected in public policy</w:t>
            </w:r>
            <w:r w:rsidR="007246EE" w:rsidRPr="004F73C6">
              <w:rPr>
                <w:rFonts w:ascii="Arial Narrow" w:eastAsia="Calibri" w:hAnsi="Arial Narrow" w:cs="Arial"/>
                <w:b/>
                <w:i/>
                <w:sz w:val="18"/>
                <w:szCs w:val="18"/>
                <w:lang w:val="en-GB"/>
              </w:rPr>
              <w:t>…</w:t>
            </w:r>
            <w:r w:rsidRPr="004F73C6">
              <w:rPr>
                <w:rFonts w:ascii="Arial Narrow" w:eastAsia="Calibri" w:hAnsi="Arial Narrow" w:cs="Arial"/>
                <w:b/>
                <w:i/>
                <w:sz w:val="18"/>
                <w:szCs w:val="18"/>
                <w:lang w:val="en-GB"/>
              </w:rPr>
              <w:t xml:space="preserve"> </w:t>
            </w:r>
          </w:p>
        </w:tc>
      </w:tr>
      <w:tr w:rsidR="000D1C44" w:rsidRPr="004F73C6" w14:paraId="11A08C42" w14:textId="77777777" w:rsidTr="00EE626B">
        <w:tc>
          <w:tcPr>
            <w:tcW w:w="581" w:type="dxa"/>
          </w:tcPr>
          <w:p w14:paraId="519A090A" w14:textId="4A35E928" w:rsidR="000D1C44" w:rsidRPr="004F73C6" w:rsidRDefault="00D821F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3A</w:t>
            </w:r>
          </w:p>
        </w:tc>
        <w:tc>
          <w:tcPr>
            <w:tcW w:w="7165" w:type="dxa"/>
          </w:tcPr>
          <w:p w14:paraId="1D59AF1C" w14:textId="37872ACF" w:rsidR="000D1C44"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mentions of Older People’s issues on income security, rights and health  in national policy documents and official statements</w:t>
            </w:r>
          </w:p>
        </w:tc>
        <w:tc>
          <w:tcPr>
            <w:tcW w:w="545" w:type="dxa"/>
            <w:shd w:val="clear" w:color="auto" w:fill="C2D69B" w:themeFill="accent3" w:themeFillTint="99"/>
          </w:tcPr>
          <w:p w14:paraId="149F7CEC"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4588229B"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12A468FB"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D99594" w:themeFill="accent2" w:themeFillTint="99"/>
          </w:tcPr>
          <w:p w14:paraId="485C2266" w14:textId="77777777" w:rsidR="000D1C44" w:rsidRPr="004F73C6" w:rsidRDefault="000D1C44" w:rsidP="00D348C8">
            <w:pPr>
              <w:tabs>
                <w:tab w:val="num" w:pos="540"/>
              </w:tabs>
              <w:jc w:val="both"/>
              <w:rPr>
                <w:rFonts w:ascii="Arial Narrow" w:eastAsia="Calibri" w:hAnsi="Arial Narrow" w:cs="Arial"/>
                <w:sz w:val="18"/>
                <w:szCs w:val="18"/>
                <w:lang w:val="en-GB"/>
              </w:rPr>
            </w:pPr>
          </w:p>
        </w:tc>
      </w:tr>
      <w:tr w:rsidR="000D1C44" w:rsidRPr="004F73C6" w14:paraId="0DB5704D" w14:textId="77777777" w:rsidTr="00EE626B">
        <w:tc>
          <w:tcPr>
            <w:tcW w:w="581" w:type="dxa"/>
          </w:tcPr>
          <w:p w14:paraId="5731745A" w14:textId="113E804C" w:rsidR="000D1C44" w:rsidRPr="004F73C6" w:rsidRDefault="00D821F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3B</w:t>
            </w:r>
          </w:p>
        </w:tc>
        <w:tc>
          <w:tcPr>
            <w:tcW w:w="7165" w:type="dxa"/>
          </w:tcPr>
          <w:p w14:paraId="1F497943" w14:textId="70838ADA" w:rsidR="000D1C44"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concerns elevated by Older People (including their associations) during national/regional/provincial consultation/participation re Older People legislation</w:t>
            </w:r>
          </w:p>
        </w:tc>
        <w:tc>
          <w:tcPr>
            <w:tcW w:w="545" w:type="dxa"/>
            <w:shd w:val="clear" w:color="auto" w:fill="C2D69B" w:themeFill="accent3" w:themeFillTint="99"/>
          </w:tcPr>
          <w:p w14:paraId="60BDCDA3"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6C86DF4C"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0D3154D5" w14:textId="77777777" w:rsidR="000D1C44" w:rsidRPr="004F73C6" w:rsidRDefault="000D1C44" w:rsidP="00D348C8">
            <w:pPr>
              <w:tabs>
                <w:tab w:val="num" w:pos="540"/>
              </w:tabs>
              <w:jc w:val="both"/>
              <w:rPr>
                <w:rFonts w:ascii="Arial Narrow" w:eastAsia="Calibri" w:hAnsi="Arial Narrow" w:cs="Arial"/>
                <w:sz w:val="18"/>
                <w:szCs w:val="18"/>
                <w:lang w:val="en-GB"/>
              </w:rPr>
            </w:pPr>
          </w:p>
        </w:tc>
        <w:tc>
          <w:tcPr>
            <w:tcW w:w="567" w:type="dxa"/>
            <w:shd w:val="clear" w:color="auto" w:fill="FFFFFF" w:themeFill="background1"/>
          </w:tcPr>
          <w:p w14:paraId="38902A59" w14:textId="698627E0" w:rsidR="000D1C44" w:rsidRPr="004F73C6" w:rsidRDefault="000D1C44" w:rsidP="00D348C8">
            <w:pPr>
              <w:tabs>
                <w:tab w:val="num" w:pos="540"/>
              </w:tabs>
              <w:jc w:val="both"/>
              <w:rPr>
                <w:rFonts w:ascii="Arial Narrow" w:eastAsia="Calibri" w:hAnsi="Arial Narrow" w:cs="Arial"/>
                <w:sz w:val="18"/>
                <w:szCs w:val="18"/>
                <w:lang w:val="en-GB"/>
              </w:rPr>
            </w:pPr>
          </w:p>
        </w:tc>
      </w:tr>
      <w:tr w:rsidR="00850626" w:rsidRPr="004F73C6" w14:paraId="657EA364" w14:textId="77777777" w:rsidTr="00EE626B">
        <w:tc>
          <w:tcPr>
            <w:tcW w:w="10065" w:type="dxa"/>
            <w:gridSpan w:val="6"/>
          </w:tcPr>
          <w:p w14:paraId="5E2250B2" w14:textId="4A20B7FE" w:rsidR="00850626"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b/>
                <w:sz w:val="18"/>
                <w:szCs w:val="18"/>
                <w:lang w:val="en-GB"/>
              </w:rPr>
              <w:t xml:space="preserve">Output 3.1: </w:t>
            </w:r>
            <w:r w:rsidRPr="004F73C6">
              <w:rPr>
                <w:rFonts w:ascii="Arial Narrow" w:eastAsia="Calibri" w:hAnsi="Arial Narrow" w:cs="Arial"/>
                <w:sz w:val="18"/>
                <w:szCs w:val="18"/>
                <w:lang w:val="en-GB"/>
              </w:rPr>
              <w:t>A programme of national and international advocacy and engagement to effect policy changes that recognize rights and needs of older people</w:t>
            </w:r>
          </w:p>
        </w:tc>
      </w:tr>
      <w:tr w:rsidR="00850626" w:rsidRPr="004F73C6" w14:paraId="15CC83D7" w14:textId="77777777" w:rsidTr="00EE626B">
        <w:tc>
          <w:tcPr>
            <w:tcW w:w="581" w:type="dxa"/>
          </w:tcPr>
          <w:p w14:paraId="464F0E4A" w14:textId="25CC9224" w:rsidR="00850626" w:rsidRPr="004F73C6" w:rsidRDefault="00D821F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3.1A</w:t>
            </w:r>
          </w:p>
        </w:tc>
        <w:tc>
          <w:tcPr>
            <w:tcW w:w="7165" w:type="dxa"/>
          </w:tcPr>
          <w:p w14:paraId="61E41A5A" w14:textId="65D0C958" w:rsidR="00D821F4"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media entries about Older People issues quoting HelpAge International or partner as a source</w:t>
            </w:r>
          </w:p>
        </w:tc>
        <w:tc>
          <w:tcPr>
            <w:tcW w:w="545" w:type="dxa"/>
            <w:shd w:val="clear" w:color="auto" w:fill="C2D69B" w:themeFill="accent3" w:themeFillTint="99"/>
          </w:tcPr>
          <w:p w14:paraId="06D3D700"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07EBC87C"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7B76FA56"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tcPr>
          <w:p w14:paraId="1E6EA56A" w14:textId="02D2BC15" w:rsidR="00850626" w:rsidRPr="004F73C6" w:rsidRDefault="00850626" w:rsidP="00D348C8">
            <w:pPr>
              <w:tabs>
                <w:tab w:val="num" w:pos="540"/>
              </w:tabs>
              <w:jc w:val="both"/>
              <w:rPr>
                <w:rFonts w:ascii="Arial Narrow" w:eastAsia="Calibri" w:hAnsi="Arial Narrow" w:cs="Arial"/>
                <w:sz w:val="18"/>
                <w:szCs w:val="18"/>
                <w:lang w:val="en-GB"/>
              </w:rPr>
            </w:pPr>
          </w:p>
        </w:tc>
      </w:tr>
      <w:tr w:rsidR="00850626" w:rsidRPr="004F73C6" w14:paraId="60B61BDE" w14:textId="77777777" w:rsidTr="00EE626B">
        <w:tc>
          <w:tcPr>
            <w:tcW w:w="581" w:type="dxa"/>
          </w:tcPr>
          <w:p w14:paraId="516545B6" w14:textId="340F4133" w:rsidR="00850626" w:rsidRPr="004F73C6" w:rsidRDefault="00D821F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3.1B</w:t>
            </w:r>
          </w:p>
        </w:tc>
        <w:tc>
          <w:tcPr>
            <w:tcW w:w="7165" w:type="dxa"/>
          </w:tcPr>
          <w:p w14:paraId="35304424" w14:textId="72DDEB20" w:rsidR="00850626"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OP and OPAs/OCM groups taking part in annual Age Demands Action (ADA) campaigns and engaging with policy makers</w:t>
            </w:r>
          </w:p>
        </w:tc>
        <w:tc>
          <w:tcPr>
            <w:tcW w:w="545" w:type="dxa"/>
            <w:shd w:val="clear" w:color="auto" w:fill="C2D69B" w:themeFill="accent3" w:themeFillTint="99"/>
          </w:tcPr>
          <w:p w14:paraId="17B2D792"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4304C23F"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289CCC4C"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tcPr>
          <w:p w14:paraId="2256382F" w14:textId="513895AC" w:rsidR="00850626" w:rsidRPr="004F73C6" w:rsidRDefault="00850626" w:rsidP="00D348C8">
            <w:pPr>
              <w:tabs>
                <w:tab w:val="num" w:pos="540"/>
              </w:tabs>
              <w:jc w:val="both"/>
              <w:rPr>
                <w:rFonts w:ascii="Arial Narrow" w:eastAsia="Calibri" w:hAnsi="Arial Narrow" w:cs="Arial"/>
                <w:sz w:val="18"/>
                <w:szCs w:val="18"/>
                <w:lang w:val="en-GB"/>
              </w:rPr>
            </w:pPr>
          </w:p>
        </w:tc>
      </w:tr>
      <w:tr w:rsidR="00850626" w:rsidRPr="004F73C6" w14:paraId="26B15F63" w14:textId="77777777" w:rsidTr="00EE626B">
        <w:tc>
          <w:tcPr>
            <w:tcW w:w="581" w:type="dxa"/>
          </w:tcPr>
          <w:p w14:paraId="455807B6" w14:textId="48451E5D" w:rsidR="00850626" w:rsidRPr="004F73C6" w:rsidRDefault="00D821F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3.1C</w:t>
            </w:r>
          </w:p>
        </w:tc>
        <w:tc>
          <w:tcPr>
            <w:tcW w:w="7165" w:type="dxa"/>
          </w:tcPr>
          <w:p w14:paraId="5D2CB8D1" w14:textId="5425287A" w:rsidR="00850626"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of Protocols (SADC, AU &amp; EAC ) around SP and health/HIV/AIDS publicized to national policy makers by HelpAge International and partners and feeding into international level policy engagement.</w:t>
            </w:r>
          </w:p>
        </w:tc>
        <w:tc>
          <w:tcPr>
            <w:tcW w:w="545" w:type="dxa"/>
            <w:shd w:val="clear" w:color="auto" w:fill="D99594" w:themeFill="accent2" w:themeFillTint="99"/>
          </w:tcPr>
          <w:p w14:paraId="17BB12C1"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640" w:type="dxa"/>
          </w:tcPr>
          <w:p w14:paraId="7ECB2E02" w14:textId="09680FF0"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tcPr>
          <w:p w14:paraId="53B0EFE5" w14:textId="78381FD5" w:rsidR="00850626" w:rsidRPr="004F73C6" w:rsidRDefault="00850626" w:rsidP="00215C05">
            <w:pPr>
              <w:tabs>
                <w:tab w:val="num" w:pos="540"/>
              </w:tabs>
              <w:jc w:val="center"/>
              <w:rPr>
                <w:rFonts w:ascii="Arial Narrow" w:eastAsia="Calibri" w:hAnsi="Arial Narrow" w:cs="Arial"/>
                <w:sz w:val="18"/>
                <w:szCs w:val="18"/>
                <w:lang w:val="en-GB"/>
              </w:rPr>
            </w:pPr>
          </w:p>
        </w:tc>
        <w:tc>
          <w:tcPr>
            <w:tcW w:w="567" w:type="dxa"/>
          </w:tcPr>
          <w:p w14:paraId="45F0170E" w14:textId="1C2A30AF" w:rsidR="00850626" w:rsidRPr="004F73C6" w:rsidRDefault="00850626" w:rsidP="00D348C8">
            <w:pPr>
              <w:tabs>
                <w:tab w:val="num" w:pos="540"/>
              </w:tabs>
              <w:jc w:val="both"/>
              <w:rPr>
                <w:rFonts w:ascii="Arial Narrow" w:eastAsia="Calibri" w:hAnsi="Arial Narrow" w:cs="Arial"/>
                <w:sz w:val="18"/>
                <w:szCs w:val="18"/>
                <w:lang w:val="en-GB"/>
              </w:rPr>
            </w:pPr>
          </w:p>
        </w:tc>
      </w:tr>
      <w:tr w:rsidR="00850626" w:rsidRPr="004F73C6" w14:paraId="641AB173" w14:textId="77777777" w:rsidTr="00EE626B">
        <w:tc>
          <w:tcPr>
            <w:tcW w:w="581" w:type="dxa"/>
          </w:tcPr>
          <w:p w14:paraId="7DA510A2" w14:textId="1EAAB1A6" w:rsidR="00850626" w:rsidRPr="004F73C6" w:rsidRDefault="00D821F4"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3.1D</w:t>
            </w:r>
          </w:p>
        </w:tc>
        <w:tc>
          <w:tcPr>
            <w:tcW w:w="7165" w:type="dxa"/>
          </w:tcPr>
          <w:p w14:paraId="407C157B" w14:textId="04DE4B73" w:rsidR="00850626" w:rsidRPr="004F73C6" w:rsidRDefault="00850626" w:rsidP="00D348C8">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xml:space="preserve">[#] of reports with relevant evidence on pensions/cash transfers to older people led by or utilized in </w:t>
            </w:r>
            <w:proofErr w:type="spellStart"/>
            <w:r w:rsidRPr="004F73C6">
              <w:rPr>
                <w:rFonts w:ascii="Arial Narrow" w:eastAsia="Calibri" w:hAnsi="Arial Narrow" w:cs="Arial"/>
                <w:sz w:val="18"/>
                <w:szCs w:val="18"/>
                <w:lang w:val="en-GB"/>
              </w:rPr>
              <w:t>govt</w:t>
            </w:r>
            <w:proofErr w:type="spellEnd"/>
            <w:r w:rsidRPr="004F73C6">
              <w:rPr>
                <w:rFonts w:ascii="Arial Narrow" w:eastAsia="Calibri" w:hAnsi="Arial Narrow" w:cs="Arial"/>
                <w:sz w:val="18"/>
                <w:szCs w:val="18"/>
                <w:lang w:val="en-GB"/>
              </w:rPr>
              <w:t xml:space="preserve"> policy or key documents by or utilized/quoted in </w:t>
            </w:r>
            <w:proofErr w:type="spellStart"/>
            <w:r w:rsidRPr="004F73C6">
              <w:rPr>
                <w:rFonts w:ascii="Arial Narrow" w:eastAsia="Calibri" w:hAnsi="Arial Narrow" w:cs="Arial"/>
                <w:sz w:val="18"/>
                <w:szCs w:val="18"/>
                <w:lang w:val="en-GB"/>
              </w:rPr>
              <w:t>govt</w:t>
            </w:r>
            <w:proofErr w:type="spellEnd"/>
            <w:r w:rsidRPr="004F73C6">
              <w:rPr>
                <w:rFonts w:ascii="Arial Narrow" w:eastAsia="Calibri" w:hAnsi="Arial Narrow" w:cs="Arial"/>
                <w:sz w:val="18"/>
                <w:szCs w:val="18"/>
                <w:lang w:val="en-GB"/>
              </w:rPr>
              <w:t xml:space="preserve"> policy or key documents.</w:t>
            </w:r>
          </w:p>
        </w:tc>
        <w:tc>
          <w:tcPr>
            <w:tcW w:w="545" w:type="dxa"/>
            <w:shd w:val="clear" w:color="auto" w:fill="C2D69B" w:themeFill="accent3" w:themeFillTint="99"/>
          </w:tcPr>
          <w:p w14:paraId="7350E89F"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640" w:type="dxa"/>
            <w:shd w:val="clear" w:color="auto" w:fill="C2D69B" w:themeFill="accent3" w:themeFillTint="99"/>
          </w:tcPr>
          <w:p w14:paraId="01F90CE8"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shd w:val="clear" w:color="auto" w:fill="C2D69B" w:themeFill="accent3" w:themeFillTint="99"/>
          </w:tcPr>
          <w:p w14:paraId="4A70DE8C" w14:textId="77777777" w:rsidR="00850626" w:rsidRPr="004F73C6" w:rsidRDefault="00850626" w:rsidP="00D348C8">
            <w:pPr>
              <w:tabs>
                <w:tab w:val="num" w:pos="540"/>
              </w:tabs>
              <w:jc w:val="both"/>
              <w:rPr>
                <w:rFonts w:ascii="Arial Narrow" w:eastAsia="Calibri" w:hAnsi="Arial Narrow" w:cs="Arial"/>
                <w:sz w:val="18"/>
                <w:szCs w:val="18"/>
                <w:lang w:val="en-GB"/>
              </w:rPr>
            </w:pPr>
          </w:p>
        </w:tc>
        <w:tc>
          <w:tcPr>
            <w:tcW w:w="567" w:type="dxa"/>
          </w:tcPr>
          <w:p w14:paraId="67167887" w14:textId="199A5842" w:rsidR="00850626" w:rsidRPr="004F73C6" w:rsidRDefault="00850626" w:rsidP="00D348C8">
            <w:pPr>
              <w:tabs>
                <w:tab w:val="num" w:pos="540"/>
              </w:tabs>
              <w:jc w:val="both"/>
              <w:rPr>
                <w:rFonts w:ascii="Arial Narrow" w:eastAsia="Calibri" w:hAnsi="Arial Narrow" w:cs="Arial"/>
                <w:sz w:val="18"/>
                <w:szCs w:val="18"/>
                <w:lang w:val="en-GB"/>
              </w:rPr>
            </w:pPr>
          </w:p>
        </w:tc>
      </w:tr>
    </w:tbl>
    <w:p w14:paraId="1514F433" w14:textId="77777777" w:rsidR="0099317B" w:rsidRPr="004F73C6" w:rsidRDefault="0099317B" w:rsidP="009940FB">
      <w:pPr>
        <w:tabs>
          <w:tab w:val="left" w:pos="7123"/>
        </w:tabs>
        <w:jc w:val="both"/>
        <w:rPr>
          <w:rFonts w:ascii="Arial Narrow" w:eastAsia="Calibri" w:hAnsi="Arial Narrow" w:cs="Arial"/>
          <w:sz w:val="18"/>
          <w:szCs w:val="18"/>
          <w:lang w:val="en-GB"/>
        </w:rPr>
      </w:pPr>
    </w:p>
    <w:tbl>
      <w:tblPr>
        <w:tblStyle w:val="TableGrid"/>
        <w:tblW w:w="10065" w:type="dxa"/>
        <w:tblLook w:val="04A0" w:firstRow="1" w:lastRow="0" w:firstColumn="1" w:lastColumn="0" w:noHBand="0" w:noVBand="1"/>
      </w:tblPr>
      <w:tblGrid>
        <w:gridCol w:w="1135"/>
        <w:gridCol w:w="8363"/>
        <w:gridCol w:w="567"/>
      </w:tblGrid>
      <w:tr w:rsidR="007246EE" w:rsidRPr="004F73C6" w14:paraId="344CF484" w14:textId="77777777" w:rsidTr="00EE626B">
        <w:trPr>
          <w:trHeight w:val="185"/>
        </w:trPr>
        <w:tc>
          <w:tcPr>
            <w:tcW w:w="9498" w:type="dxa"/>
            <w:gridSpan w:val="2"/>
            <w:shd w:val="clear" w:color="auto" w:fill="D9D9D9" w:themeFill="background1" w:themeFillShade="D9"/>
          </w:tcPr>
          <w:p w14:paraId="09005760" w14:textId="67DA2B7A" w:rsidR="007246EE" w:rsidRPr="004F73C6" w:rsidRDefault="00C30693" w:rsidP="007C6EAD">
            <w:pPr>
              <w:tabs>
                <w:tab w:val="num" w:pos="540"/>
              </w:tabs>
              <w:jc w:val="both"/>
              <w:rPr>
                <w:rFonts w:ascii="Arial Narrow" w:eastAsia="Calibri" w:hAnsi="Arial Narrow" w:cs="Arial"/>
                <w:b/>
                <w:i/>
                <w:sz w:val="18"/>
                <w:szCs w:val="18"/>
                <w:lang w:val="en-GB"/>
              </w:rPr>
            </w:pPr>
            <w:r w:rsidRPr="004F73C6">
              <w:rPr>
                <w:rFonts w:ascii="Arial Narrow" w:eastAsia="Calibri" w:hAnsi="Arial Narrow" w:cs="Arial"/>
                <w:b/>
                <w:i/>
                <w:sz w:val="18"/>
                <w:szCs w:val="18"/>
                <w:lang w:val="en-GB"/>
              </w:rPr>
              <w:t>Ireland</w:t>
            </w:r>
            <w:r w:rsidR="007246EE" w:rsidRPr="004F73C6">
              <w:rPr>
                <w:rFonts w:ascii="Arial Narrow" w:eastAsia="Calibri" w:hAnsi="Arial Narrow" w:cs="Arial"/>
                <w:b/>
                <w:sz w:val="18"/>
                <w:szCs w:val="18"/>
                <w:lang w:val="en-GB"/>
              </w:rPr>
              <w:t xml:space="preserve"> Component: </w:t>
            </w:r>
            <w:r w:rsidR="007246EE" w:rsidRPr="004F73C6">
              <w:rPr>
                <w:rFonts w:ascii="Arial Narrow" w:eastAsia="Calibri" w:hAnsi="Arial Narrow" w:cs="Arial"/>
                <w:b/>
                <w:i/>
                <w:sz w:val="18"/>
                <w:szCs w:val="18"/>
                <w:lang w:val="en-GB"/>
              </w:rPr>
              <w:t>Ageing and Development Awareness</w:t>
            </w:r>
          </w:p>
        </w:tc>
        <w:tc>
          <w:tcPr>
            <w:tcW w:w="567" w:type="dxa"/>
            <w:shd w:val="clear" w:color="auto" w:fill="F2F2F2" w:themeFill="background1" w:themeFillShade="F2"/>
          </w:tcPr>
          <w:p w14:paraId="6D24B552" w14:textId="074D2AD2" w:rsidR="007246EE" w:rsidRPr="004F73C6" w:rsidRDefault="007246EE" w:rsidP="009940FB">
            <w:pPr>
              <w:tabs>
                <w:tab w:val="left" w:pos="7123"/>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IRE</w:t>
            </w:r>
          </w:p>
        </w:tc>
      </w:tr>
      <w:tr w:rsidR="007C6EAD" w:rsidRPr="004F73C6" w14:paraId="3B01B683" w14:textId="77777777" w:rsidTr="00EE626B">
        <w:trPr>
          <w:trHeight w:val="185"/>
        </w:trPr>
        <w:tc>
          <w:tcPr>
            <w:tcW w:w="1135" w:type="dxa"/>
          </w:tcPr>
          <w:p w14:paraId="42DB06AF" w14:textId="4ED87BC8" w:rsidR="007C6EAD" w:rsidRPr="004F73C6" w:rsidRDefault="007C6EAD" w:rsidP="009940FB">
            <w:pPr>
              <w:tabs>
                <w:tab w:val="left" w:pos="7123"/>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Outcome 1</w:t>
            </w:r>
          </w:p>
        </w:tc>
        <w:tc>
          <w:tcPr>
            <w:tcW w:w="8363" w:type="dxa"/>
          </w:tcPr>
          <w:p w14:paraId="679C42D6" w14:textId="47563E19" w:rsidR="007C6EAD" w:rsidRPr="004F73C6" w:rsidRDefault="007C6EAD" w:rsidP="007C6EAD">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 xml:space="preserve">Age Action </w:t>
            </w:r>
            <w:r w:rsidR="00C30693" w:rsidRPr="004F73C6">
              <w:rPr>
                <w:rFonts w:ascii="Arial Narrow" w:eastAsia="Calibri" w:hAnsi="Arial Narrow" w:cs="Arial"/>
                <w:i/>
                <w:sz w:val="18"/>
                <w:szCs w:val="18"/>
                <w:lang w:val="en-GB"/>
              </w:rPr>
              <w:t>Ireland</w:t>
            </w:r>
            <w:r w:rsidRPr="004F73C6">
              <w:rPr>
                <w:rFonts w:ascii="Arial Narrow" w:eastAsia="Calibri" w:hAnsi="Arial Narrow" w:cs="Arial"/>
                <w:sz w:val="18"/>
                <w:szCs w:val="18"/>
                <w:lang w:val="en-GB"/>
              </w:rPr>
              <w:t xml:space="preserve"> staff, members and supporters have increased awareness on ageing and development issues</w:t>
            </w:r>
          </w:p>
        </w:tc>
        <w:tc>
          <w:tcPr>
            <w:tcW w:w="567" w:type="dxa"/>
            <w:shd w:val="clear" w:color="auto" w:fill="C2D69B" w:themeFill="accent3" w:themeFillTint="99"/>
          </w:tcPr>
          <w:p w14:paraId="42A1247D" w14:textId="1BD7DA36" w:rsidR="007C6EAD" w:rsidRPr="004F73C6" w:rsidRDefault="007C6EAD" w:rsidP="009940FB">
            <w:pPr>
              <w:tabs>
                <w:tab w:val="left" w:pos="7123"/>
              </w:tabs>
              <w:jc w:val="both"/>
              <w:rPr>
                <w:rFonts w:ascii="Arial Narrow" w:eastAsia="Calibri" w:hAnsi="Arial Narrow" w:cs="Arial"/>
                <w:sz w:val="18"/>
                <w:szCs w:val="18"/>
                <w:lang w:val="en-GB"/>
              </w:rPr>
            </w:pPr>
          </w:p>
        </w:tc>
      </w:tr>
      <w:tr w:rsidR="007C6EAD" w:rsidRPr="004F73C6" w14:paraId="1E0B2172" w14:textId="77777777" w:rsidTr="00EE626B">
        <w:trPr>
          <w:trHeight w:val="184"/>
        </w:trPr>
        <w:tc>
          <w:tcPr>
            <w:tcW w:w="1135" w:type="dxa"/>
          </w:tcPr>
          <w:p w14:paraId="06894AE3" w14:textId="759DFFFB" w:rsidR="007C6EAD" w:rsidRPr="004F73C6" w:rsidRDefault="007C6EAD" w:rsidP="009940FB">
            <w:pPr>
              <w:tabs>
                <w:tab w:val="left" w:pos="7123"/>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Outcome 2</w:t>
            </w:r>
          </w:p>
        </w:tc>
        <w:tc>
          <w:tcPr>
            <w:tcW w:w="8363" w:type="dxa"/>
          </w:tcPr>
          <w:p w14:paraId="5C0A8D34" w14:textId="571B7A6C" w:rsidR="007C6EAD" w:rsidRPr="004F73C6" w:rsidRDefault="007C6EAD" w:rsidP="007C6EAD">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Irish INGOs have increased awareness of older people and their rights in development</w:t>
            </w:r>
          </w:p>
        </w:tc>
        <w:tc>
          <w:tcPr>
            <w:tcW w:w="567" w:type="dxa"/>
            <w:shd w:val="clear" w:color="auto" w:fill="C2D69B" w:themeFill="accent3" w:themeFillTint="99"/>
          </w:tcPr>
          <w:p w14:paraId="61C357C6" w14:textId="565B4595" w:rsidR="007C6EAD" w:rsidRPr="004F73C6" w:rsidRDefault="007C6EAD" w:rsidP="009940FB">
            <w:pPr>
              <w:tabs>
                <w:tab w:val="left" w:pos="7123"/>
              </w:tabs>
              <w:jc w:val="both"/>
              <w:rPr>
                <w:rFonts w:ascii="Arial Narrow" w:eastAsia="Calibri" w:hAnsi="Arial Narrow" w:cs="Arial"/>
                <w:sz w:val="18"/>
                <w:szCs w:val="18"/>
                <w:lang w:val="en-GB"/>
              </w:rPr>
            </w:pPr>
          </w:p>
        </w:tc>
      </w:tr>
      <w:tr w:rsidR="007C6EAD" w:rsidRPr="004F73C6" w14:paraId="50377191" w14:textId="77777777" w:rsidTr="00EE626B">
        <w:trPr>
          <w:trHeight w:val="184"/>
        </w:trPr>
        <w:tc>
          <w:tcPr>
            <w:tcW w:w="1135" w:type="dxa"/>
          </w:tcPr>
          <w:p w14:paraId="5171AC93" w14:textId="2E4157B8" w:rsidR="007C6EAD" w:rsidRPr="004F73C6" w:rsidRDefault="007C6EAD" w:rsidP="009940FB">
            <w:pPr>
              <w:tabs>
                <w:tab w:val="left" w:pos="7123"/>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Outcome 3</w:t>
            </w:r>
          </w:p>
        </w:tc>
        <w:tc>
          <w:tcPr>
            <w:tcW w:w="8363" w:type="dxa"/>
          </w:tcPr>
          <w:p w14:paraId="10F65D05" w14:textId="7414C327" w:rsidR="007C6EAD" w:rsidRPr="004F73C6" w:rsidRDefault="007C6EAD" w:rsidP="007C6EAD">
            <w:pPr>
              <w:tabs>
                <w:tab w:val="num" w:pos="540"/>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Increased awareness of ageing &amp; development and the rights of older people among politicians and different political parties</w:t>
            </w:r>
          </w:p>
        </w:tc>
        <w:tc>
          <w:tcPr>
            <w:tcW w:w="567" w:type="dxa"/>
            <w:shd w:val="clear" w:color="auto" w:fill="D99594" w:themeFill="accent2" w:themeFillTint="99"/>
          </w:tcPr>
          <w:p w14:paraId="2C0ED613" w14:textId="5303BCE0" w:rsidR="007C6EAD" w:rsidRPr="004F73C6" w:rsidRDefault="007C6EAD" w:rsidP="009940FB">
            <w:pPr>
              <w:tabs>
                <w:tab w:val="left" w:pos="7123"/>
              </w:tabs>
              <w:jc w:val="both"/>
              <w:rPr>
                <w:rFonts w:ascii="Arial Narrow" w:eastAsia="Calibri" w:hAnsi="Arial Narrow" w:cs="Arial"/>
                <w:sz w:val="18"/>
                <w:szCs w:val="18"/>
                <w:lang w:val="en-GB"/>
              </w:rPr>
            </w:pPr>
          </w:p>
        </w:tc>
      </w:tr>
    </w:tbl>
    <w:p w14:paraId="4479197A" w14:textId="38A6CA54" w:rsidR="009940FB" w:rsidRPr="004F73C6" w:rsidRDefault="009940FB" w:rsidP="009940FB">
      <w:pPr>
        <w:tabs>
          <w:tab w:val="left" w:pos="7123"/>
        </w:tabs>
        <w:jc w:val="both"/>
        <w:rPr>
          <w:rFonts w:ascii="Arial Narrow" w:eastAsia="Calibri" w:hAnsi="Arial Narrow" w:cs="Arial"/>
          <w:sz w:val="18"/>
          <w:szCs w:val="18"/>
          <w:lang w:val="en-GB"/>
        </w:rPr>
      </w:pPr>
      <w:r w:rsidRPr="004F73C6">
        <w:rPr>
          <w:rFonts w:ascii="Arial Narrow" w:eastAsia="Calibri" w:hAnsi="Arial Narrow" w:cs="Arial"/>
          <w:sz w:val="18"/>
          <w:szCs w:val="18"/>
          <w:lang w:val="en-GB"/>
        </w:rPr>
        <w:tab/>
      </w:r>
    </w:p>
    <w:tbl>
      <w:tblPr>
        <w:tblStyle w:val="TableGrid"/>
        <w:tblW w:w="0" w:type="auto"/>
        <w:tblLook w:val="04A0" w:firstRow="1" w:lastRow="0" w:firstColumn="1" w:lastColumn="0" w:noHBand="0" w:noVBand="1"/>
      </w:tblPr>
      <w:tblGrid>
        <w:gridCol w:w="426"/>
        <w:gridCol w:w="3260"/>
        <w:gridCol w:w="567"/>
        <w:gridCol w:w="2694"/>
      </w:tblGrid>
      <w:tr w:rsidR="001879A1" w:rsidRPr="004F73C6" w14:paraId="713F572B" w14:textId="77777777" w:rsidTr="002424A5">
        <w:tc>
          <w:tcPr>
            <w:tcW w:w="426" w:type="dxa"/>
            <w:tcBorders>
              <w:top w:val="single" w:sz="4" w:space="0" w:color="auto"/>
            </w:tcBorders>
            <w:shd w:val="clear" w:color="auto" w:fill="C2D69B" w:themeFill="accent3" w:themeFillTint="99"/>
          </w:tcPr>
          <w:p w14:paraId="4A3B62E5" w14:textId="77777777" w:rsidR="001879A1" w:rsidRPr="004F73C6" w:rsidRDefault="001879A1" w:rsidP="0067706D">
            <w:pPr>
              <w:tabs>
                <w:tab w:val="num" w:pos="540"/>
              </w:tabs>
              <w:jc w:val="both"/>
              <w:rPr>
                <w:rFonts w:ascii="Arial" w:eastAsia="Calibri" w:hAnsi="Arial" w:cs="Arial"/>
                <w:sz w:val="18"/>
                <w:szCs w:val="18"/>
                <w:lang w:val="en-GB"/>
              </w:rPr>
            </w:pPr>
          </w:p>
        </w:tc>
        <w:tc>
          <w:tcPr>
            <w:tcW w:w="3260" w:type="dxa"/>
            <w:tcBorders>
              <w:top w:val="nil"/>
              <w:bottom w:val="nil"/>
            </w:tcBorders>
          </w:tcPr>
          <w:p w14:paraId="634DC002" w14:textId="09E3294D" w:rsidR="001879A1" w:rsidRPr="004F73C6" w:rsidRDefault="001879A1" w:rsidP="0067706D">
            <w:pPr>
              <w:tabs>
                <w:tab w:val="num" w:pos="540"/>
              </w:tabs>
              <w:jc w:val="both"/>
              <w:rPr>
                <w:rFonts w:ascii="Arial" w:eastAsia="Calibri" w:hAnsi="Arial" w:cs="Arial"/>
                <w:sz w:val="18"/>
                <w:szCs w:val="18"/>
                <w:lang w:val="en-GB"/>
              </w:rPr>
            </w:pPr>
            <w:r w:rsidRPr="004F73C6">
              <w:rPr>
                <w:rFonts w:ascii="Arial" w:eastAsia="Calibri" w:hAnsi="Arial" w:cs="Arial"/>
                <w:sz w:val="18"/>
                <w:szCs w:val="18"/>
                <w:lang w:val="en-GB"/>
              </w:rPr>
              <w:t>On track / ahead of schedule</w:t>
            </w:r>
          </w:p>
        </w:tc>
        <w:tc>
          <w:tcPr>
            <w:tcW w:w="567" w:type="dxa"/>
            <w:tcBorders>
              <w:top w:val="single" w:sz="4" w:space="0" w:color="auto"/>
            </w:tcBorders>
            <w:shd w:val="clear" w:color="auto" w:fill="D9D9D9" w:themeFill="background1" w:themeFillShade="D9"/>
          </w:tcPr>
          <w:p w14:paraId="38CBFE3E" w14:textId="35889C83" w:rsidR="001879A1" w:rsidRPr="004F73C6" w:rsidRDefault="001879A1" w:rsidP="0067706D">
            <w:pPr>
              <w:tabs>
                <w:tab w:val="num" w:pos="540"/>
              </w:tabs>
              <w:jc w:val="both"/>
              <w:rPr>
                <w:rFonts w:ascii="Arial" w:eastAsia="Calibri" w:hAnsi="Arial" w:cs="Arial"/>
                <w:sz w:val="18"/>
                <w:szCs w:val="18"/>
                <w:lang w:val="en-GB"/>
              </w:rPr>
            </w:pPr>
            <w:r w:rsidRPr="004F73C6">
              <w:rPr>
                <w:rFonts w:ascii="Arial" w:eastAsia="Calibri" w:hAnsi="Arial" w:cs="Arial"/>
                <w:sz w:val="18"/>
                <w:szCs w:val="18"/>
                <w:lang w:val="en-GB"/>
              </w:rPr>
              <w:t>N/A</w:t>
            </w:r>
          </w:p>
        </w:tc>
        <w:tc>
          <w:tcPr>
            <w:tcW w:w="2694" w:type="dxa"/>
            <w:tcBorders>
              <w:top w:val="nil"/>
              <w:bottom w:val="nil"/>
              <w:right w:val="nil"/>
            </w:tcBorders>
          </w:tcPr>
          <w:p w14:paraId="04E5717C" w14:textId="67391E32" w:rsidR="001879A1" w:rsidRPr="004F73C6" w:rsidRDefault="001879A1" w:rsidP="0067706D">
            <w:pPr>
              <w:tabs>
                <w:tab w:val="num" w:pos="540"/>
              </w:tabs>
              <w:jc w:val="both"/>
              <w:rPr>
                <w:rFonts w:ascii="Arial" w:eastAsia="Calibri" w:hAnsi="Arial" w:cs="Arial"/>
                <w:sz w:val="18"/>
                <w:szCs w:val="18"/>
                <w:lang w:val="en-GB"/>
              </w:rPr>
            </w:pPr>
            <w:r w:rsidRPr="004F73C6">
              <w:rPr>
                <w:rFonts w:ascii="Arial" w:eastAsia="Calibri" w:hAnsi="Arial" w:cs="Arial"/>
                <w:sz w:val="18"/>
                <w:szCs w:val="18"/>
                <w:lang w:val="en-GB"/>
              </w:rPr>
              <w:t>Not applicable</w:t>
            </w:r>
            <w:r w:rsidR="00C85309" w:rsidRPr="004F73C6">
              <w:rPr>
                <w:rFonts w:ascii="Arial" w:eastAsia="Calibri" w:hAnsi="Arial" w:cs="Arial"/>
                <w:sz w:val="18"/>
                <w:szCs w:val="18"/>
                <w:lang w:val="en-GB"/>
              </w:rPr>
              <w:t xml:space="preserve"> to this country</w:t>
            </w:r>
          </w:p>
        </w:tc>
      </w:tr>
      <w:tr w:rsidR="001879A1" w:rsidRPr="004F73C6" w14:paraId="17AA4A01" w14:textId="77777777" w:rsidTr="00393C1D">
        <w:tc>
          <w:tcPr>
            <w:tcW w:w="426" w:type="dxa"/>
            <w:shd w:val="clear" w:color="auto" w:fill="D99594" w:themeFill="accent2" w:themeFillTint="99"/>
          </w:tcPr>
          <w:p w14:paraId="26000482" w14:textId="77777777" w:rsidR="001879A1" w:rsidRPr="004F73C6" w:rsidRDefault="001879A1" w:rsidP="0067706D">
            <w:pPr>
              <w:tabs>
                <w:tab w:val="num" w:pos="540"/>
              </w:tabs>
              <w:jc w:val="both"/>
              <w:rPr>
                <w:rFonts w:ascii="Arial" w:eastAsia="Calibri" w:hAnsi="Arial" w:cs="Arial"/>
                <w:sz w:val="18"/>
                <w:szCs w:val="18"/>
                <w:lang w:val="en-GB"/>
              </w:rPr>
            </w:pPr>
          </w:p>
        </w:tc>
        <w:tc>
          <w:tcPr>
            <w:tcW w:w="3260" w:type="dxa"/>
            <w:tcBorders>
              <w:top w:val="nil"/>
              <w:bottom w:val="nil"/>
            </w:tcBorders>
          </w:tcPr>
          <w:p w14:paraId="69B9BAAD" w14:textId="48BDDD94" w:rsidR="001879A1" w:rsidRPr="004F73C6" w:rsidRDefault="001879A1" w:rsidP="001879A1">
            <w:pPr>
              <w:tabs>
                <w:tab w:val="num" w:pos="540"/>
              </w:tabs>
              <w:jc w:val="both"/>
              <w:rPr>
                <w:rFonts w:ascii="Arial" w:eastAsia="Calibri" w:hAnsi="Arial" w:cs="Arial"/>
                <w:sz w:val="18"/>
                <w:szCs w:val="18"/>
                <w:lang w:val="en-GB"/>
              </w:rPr>
            </w:pPr>
            <w:r w:rsidRPr="004F73C6">
              <w:rPr>
                <w:rFonts w:ascii="Arial" w:eastAsia="Calibri" w:hAnsi="Arial" w:cs="Arial"/>
                <w:sz w:val="18"/>
                <w:szCs w:val="18"/>
                <w:lang w:val="en-GB"/>
              </w:rPr>
              <w:t>Not on track / behind schedule</w:t>
            </w:r>
          </w:p>
        </w:tc>
        <w:tc>
          <w:tcPr>
            <w:tcW w:w="567" w:type="dxa"/>
          </w:tcPr>
          <w:p w14:paraId="153B7BAE" w14:textId="45698858" w:rsidR="001879A1" w:rsidRPr="004F73C6" w:rsidRDefault="001879A1" w:rsidP="001879A1">
            <w:pPr>
              <w:tabs>
                <w:tab w:val="num" w:pos="540"/>
              </w:tabs>
              <w:jc w:val="center"/>
              <w:rPr>
                <w:rFonts w:ascii="Arial" w:eastAsia="Calibri" w:hAnsi="Arial" w:cs="Arial"/>
                <w:sz w:val="18"/>
                <w:szCs w:val="18"/>
                <w:lang w:val="en-GB"/>
              </w:rPr>
            </w:pPr>
          </w:p>
        </w:tc>
        <w:tc>
          <w:tcPr>
            <w:tcW w:w="2694" w:type="dxa"/>
            <w:tcBorders>
              <w:top w:val="nil"/>
              <w:bottom w:val="nil"/>
              <w:right w:val="nil"/>
            </w:tcBorders>
          </w:tcPr>
          <w:p w14:paraId="26048D37" w14:textId="73CAC80D" w:rsidR="001879A1" w:rsidRPr="004F73C6" w:rsidRDefault="00851C61" w:rsidP="0067706D">
            <w:pPr>
              <w:tabs>
                <w:tab w:val="num" w:pos="540"/>
              </w:tabs>
              <w:jc w:val="both"/>
              <w:rPr>
                <w:rFonts w:ascii="Arial" w:eastAsia="Calibri" w:hAnsi="Arial" w:cs="Arial"/>
                <w:sz w:val="18"/>
                <w:szCs w:val="18"/>
                <w:lang w:val="en-GB"/>
              </w:rPr>
            </w:pPr>
            <w:r w:rsidRPr="004F73C6">
              <w:rPr>
                <w:rFonts w:ascii="Arial" w:eastAsia="Calibri" w:hAnsi="Arial" w:cs="Arial"/>
                <w:sz w:val="18"/>
                <w:szCs w:val="18"/>
                <w:lang w:val="en-GB"/>
              </w:rPr>
              <w:t>Further verification required</w:t>
            </w:r>
          </w:p>
        </w:tc>
      </w:tr>
      <w:tr w:rsidR="00AE60E3" w:rsidRPr="004F73C6" w14:paraId="16D73255" w14:textId="77777777" w:rsidTr="00B96FF3">
        <w:tc>
          <w:tcPr>
            <w:tcW w:w="6947" w:type="dxa"/>
            <w:gridSpan w:val="4"/>
            <w:tcBorders>
              <w:top w:val="nil"/>
              <w:left w:val="nil"/>
              <w:bottom w:val="nil"/>
              <w:right w:val="nil"/>
            </w:tcBorders>
            <w:shd w:val="clear" w:color="auto" w:fill="auto"/>
          </w:tcPr>
          <w:p w14:paraId="24E596CE" w14:textId="70F693FE" w:rsidR="00AE60E3" w:rsidRPr="004F73C6" w:rsidRDefault="00AE60E3" w:rsidP="00AE60E3">
            <w:pPr>
              <w:tabs>
                <w:tab w:val="num" w:pos="540"/>
              </w:tabs>
              <w:spacing w:before="120"/>
              <w:rPr>
                <w:rFonts w:ascii="Arial" w:eastAsia="Calibri" w:hAnsi="Arial" w:cs="Arial"/>
                <w:sz w:val="18"/>
                <w:szCs w:val="18"/>
                <w:lang w:val="en-GB"/>
              </w:rPr>
            </w:pPr>
            <w:r w:rsidRPr="004F73C6">
              <w:rPr>
                <w:rFonts w:ascii="Arial" w:eastAsia="Calibri" w:hAnsi="Arial" w:cs="Arial"/>
                <w:b/>
                <w:sz w:val="18"/>
                <w:szCs w:val="18"/>
                <w:lang w:val="en-GB"/>
              </w:rPr>
              <w:t>MOZ</w:t>
            </w:r>
            <w:r w:rsidRPr="004F73C6">
              <w:rPr>
                <w:rFonts w:ascii="Arial" w:eastAsia="Calibri" w:hAnsi="Arial" w:cs="Arial"/>
                <w:sz w:val="18"/>
                <w:szCs w:val="18"/>
                <w:lang w:val="en-GB"/>
              </w:rPr>
              <w:t xml:space="preserve"> = </w:t>
            </w:r>
            <w:r w:rsidR="00C30693" w:rsidRPr="004F73C6">
              <w:rPr>
                <w:rFonts w:ascii="Arial" w:eastAsia="Calibri" w:hAnsi="Arial" w:cs="Arial"/>
                <w:i/>
                <w:sz w:val="18"/>
                <w:szCs w:val="18"/>
                <w:lang w:val="en-GB"/>
              </w:rPr>
              <w:t>Mozambique</w:t>
            </w:r>
            <w:r w:rsidRPr="004F73C6">
              <w:rPr>
                <w:rFonts w:ascii="Arial" w:eastAsia="Calibri" w:hAnsi="Arial" w:cs="Arial"/>
                <w:sz w:val="18"/>
                <w:szCs w:val="18"/>
                <w:lang w:val="en-GB"/>
              </w:rPr>
              <w:t xml:space="preserve">; </w:t>
            </w:r>
            <w:r w:rsidRPr="004F73C6">
              <w:rPr>
                <w:rFonts w:ascii="Arial" w:eastAsia="Calibri" w:hAnsi="Arial" w:cs="Arial"/>
                <w:b/>
                <w:sz w:val="18"/>
                <w:szCs w:val="18"/>
                <w:lang w:val="en-GB"/>
              </w:rPr>
              <w:t>TAN</w:t>
            </w:r>
            <w:r w:rsidRPr="004F73C6">
              <w:rPr>
                <w:rFonts w:ascii="Arial" w:eastAsia="Calibri" w:hAnsi="Arial" w:cs="Arial"/>
                <w:sz w:val="18"/>
                <w:szCs w:val="18"/>
                <w:lang w:val="en-GB"/>
              </w:rPr>
              <w:t xml:space="preserve"> = </w:t>
            </w:r>
            <w:r w:rsidR="00C30693" w:rsidRPr="004F73C6">
              <w:rPr>
                <w:rFonts w:ascii="Arial" w:eastAsia="Calibri" w:hAnsi="Arial" w:cs="Arial"/>
                <w:i/>
                <w:sz w:val="18"/>
                <w:szCs w:val="18"/>
                <w:lang w:val="en-GB"/>
              </w:rPr>
              <w:t>Tanzania</w:t>
            </w:r>
            <w:r w:rsidRPr="004F73C6">
              <w:rPr>
                <w:rFonts w:ascii="Arial" w:eastAsia="Calibri" w:hAnsi="Arial" w:cs="Arial"/>
                <w:sz w:val="18"/>
                <w:szCs w:val="18"/>
                <w:lang w:val="en-GB"/>
              </w:rPr>
              <w:t xml:space="preserve">; </w:t>
            </w:r>
            <w:r w:rsidRPr="004F73C6">
              <w:rPr>
                <w:rFonts w:ascii="Arial" w:eastAsia="Calibri" w:hAnsi="Arial" w:cs="Arial"/>
                <w:b/>
                <w:sz w:val="18"/>
                <w:szCs w:val="18"/>
                <w:lang w:val="en-GB"/>
              </w:rPr>
              <w:t>UGA</w:t>
            </w:r>
            <w:r w:rsidRPr="004F73C6">
              <w:rPr>
                <w:rFonts w:ascii="Arial" w:eastAsia="Calibri" w:hAnsi="Arial" w:cs="Arial"/>
                <w:sz w:val="18"/>
                <w:szCs w:val="18"/>
                <w:lang w:val="en-GB"/>
              </w:rPr>
              <w:t xml:space="preserve"> = </w:t>
            </w:r>
            <w:r w:rsidR="00C30693" w:rsidRPr="004F73C6">
              <w:rPr>
                <w:rFonts w:ascii="Arial" w:eastAsia="Calibri" w:hAnsi="Arial" w:cs="Arial"/>
                <w:i/>
                <w:sz w:val="18"/>
                <w:szCs w:val="18"/>
                <w:lang w:val="en-GB"/>
              </w:rPr>
              <w:t>Uganda</w:t>
            </w:r>
            <w:r w:rsidRPr="004F73C6">
              <w:rPr>
                <w:rFonts w:ascii="Arial" w:eastAsia="Calibri" w:hAnsi="Arial" w:cs="Arial"/>
                <w:sz w:val="18"/>
                <w:szCs w:val="18"/>
                <w:lang w:val="en-GB"/>
              </w:rPr>
              <w:t xml:space="preserve">; </w:t>
            </w:r>
            <w:r w:rsidRPr="004F73C6">
              <w:rPr>
                <w:rFonts w:ascii="Arial" w:eastAsia="Calibri" w:hAnsi="Arial" w:cs="Arial"/>
                <w:b/>
                <w:sz w:val="18"/>
                <w:szCs w:val="18"/>
                <w:lang w:val="en-GB"/>
              </w:rPr>
              <w:t>SA</w:t>
            </w:r>
            <w:r w:rsidRPr="004F73C6">
              <w:rPr>
                <w:rFonts w:ascii="Arial" w:eastAsia="Calibri" w:hAnsi="Arial" w:cs="Arial"/>
                <w:sz w:val="18"/>
                <w:szCs w:val="18"/>
                <w:lang w:val="en-GB"/>
              </w:rPr>
              <w:t xml:space="preserve"> = </w:t>
            </w:r>
            <w:r w:rsidR="00C30693" w:rsidRPr="004F73C6">
              <w:rPr>
                <w:rFonts w:ascii="Arial" w:eastAsia="Calibri" w:hAnsi="Arial" w:cs="Arial"/>
                <w:i/>
                <w:sz w:val="18"/>
                <w:szCs w:val="18"/>
                <w:lang w:val="en-GB"/>
              </w:rPr>
              <w:t>South Africa</w:t>
            </w:r>
          </w:p>
        </w:tc>
      </w:tr>
    </w:tbl>
    <w:p w14:paraId="340CC418" w14:textId="77777777" w:rsidR="00BA6FA7" w:rsidRPr="004F73C6" w:rsidRDefault="00BA6FA7" w:rsidP="0067706D">
      <w:pPr>
        <w:tabs>
          <w:tab w:val="num" w:pos="540"/>
        </w:tabs>
        <w:jc w:val="both"/>
        <w:rPr>
          <w:rFonts w:ascii="Arial" w:eastAsia="Calibri" w:hAnsi="Arial" w:cs="Arial"/>
          <w:sz w:val="22"/>
          <w:lang w:val="en-GB"/>
        </w:rPr>
      </w:pPr>
    </w:p>
    <w:p w14:paraId="31DBA2ED" w14:textId="57BD9774" w:rsidR="006627B3" w:rsidRPr="004F73C6" w:rsidRDefault="00AC3ED8"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The </w:t>
      </w:r>
      <w:r w:rsidR="007F0120" w:rsidRPr="004F73C6">
        <w:rPr>
          <w:rFonts w:ascii="Arial" w:eastAsia="Calibri" w:hAnsi="Arial" w:cs="Arial"/>
          <w:sz w:val="22"/>
          <w:lang w:val="en-GB"/>
        </w:rPr>
        <w:t xml:space="preserve">programme </w:t>
      </w:r>
      <w:r w:rsidR="00F35097" w:rsidRPr="004F73C6">
        <w:rPr>
          <w:rFonts w:ascii="Arial" w:eastAsia="Calibri" w:hAnsi="Arial" w:cs="Arial"/>
          <w:sz w:val="22"/>
          <w:lang w:val="en-GB"/>
        </w:rPr>
        <w:t xml:space="preserve">shows </w:t>
      </w:r>
      <w:r w:rsidR="00122BAF" w:rsidRPr="004F73C6">
        <w:rPr>
          <w:rFonts w:ascii="Arial" w:eastAsia="Calibri" w:hAnsi="Arial" w:cs="Arial"/>
          <w:sz w:val="22"/>
          <w:lang w:val="en-GB"/>
        </w:rPr>
        <w:t xml:space="preserve">greatest </w:t>
      </w:r>
      <w:r w:rsidR="00F35097" w:rsidRPr="004F73C6">
        <w:rPr>
          <w:rFonts w:ascii="Arial" w:eastAsia="Calibri" w:hAnsi="Arial" w:cs="Arial"/>
          <w:sz w:val="22"/>
          <w:lang w:val="en-GB"/>
        </w:rPr>
        <w:t xml:space="preserve">progress </w:t>
      </w:r>
      <w:r w:rsidR="009A7AEE" w:rsidRPr="004F73C6">
        <w:rPr>
          <w:rFonts w:ascii="Arial" w:eastAsia="Calibri" w:hAnsi="Arial" w:cs="Arial"/>
          <w:sz w:val="22"/>
          <w:lang w:val="en-GB"/>
        </w:rPr>
        <w:t xml:space="preserve">against targets for </w:t>
      </w:r>
      <w:r w:rsidR="00350DF2" w:rsidRPr="004F73C6">
        <w:rPr>
          <w:rFonts w:ascii="Arial" w:eastAsia="Calibri" w:hAnsi="Arial" w:cs="Arial"/>
          <w:sz w:val="22"/>
          <w:lang w:val="en-GB"/>
        </w:rPr>
        <w:t xml:space="preserve">in </w:t>
      </w:r>
      <w:r w:rsidR="007F0120" w:rsidRPr="004F73C6">
        <w:rPr>
          <w:rFonts w:ascii="Arial" w:eastAsia="Calibri" w:hAnsi="Arial" w:cs="Arial"/>
          <w:sz w:val="22"/>
          <w:lang w:val="en-GB"/>
        </w:rPr>
        <w:t>social protection</w:t>
      </w:r>
      <w:r w:rsidR="003539D0" w:rsidRPr="004F73C6">
        <w:rPr>
          <w:rFonts w:ascii="Arial" w:eastAsia="Calibri" w:hAnsi="Arial" w:cs="Arial"/>
          <w:sz w:val="22"/>
          <w:lang w:val="en-GB"/>
        </w:rPr>
        <w:t xml:space="preserve">. In contrast, </w:t>
      </w:r>
      <w:r w:rsidR="007F0120" w:rsidRPr="004F73C6">
        <w:rPr>
          <w:rFonts w:ascii="Arial" w:eastAsia="Calibri" w:hAnsi="Arial" w:cs="Arial"/>
          <w:sz w:val="22"/>
          <w:lang w:val="en-GB"/>
        </w:rPr>
        <w:t xml:space="preserve">results on health are </w:t>
      </w:r>
      <w:r w:rsidR="003539D0" w:rsidRPr="004F73C6">
        <w:rPr>
          <w:rFonts w:ascii="Arial" w:eastAsia="Calibri" w:hAnsi="Arial" w:cs="Arial"/>
          <w:sz w:val="22"/>
          <w:lang w:val="en-GB"/>
        </w:rPr>
        <w:t xml:space="preserve">generally </w:t>
      </w:r>
      <w:r w:rsidR="007F0120" w:rsidRPr="004F73C6">
        <w:rPr>
          <w:rFonts w:ascii="Arial" w:eastAsia="Calibri" w:hAnsi="Arial" w:cs="Arial"/>
          <w:sz w:val="22"/>
          <w:lang w:val="en-GB"/>
        </w:rPr>
        <w:t>lagging behind</w:t>
      </w:r>
      <w:r w:rsidR="003539D0" w:rsidRPr="004F73C6">
        <w:rPr>
          <w:rFonts w:ascii="Arial" w:eastAsia="Calibri" w:hAnsi="Arial" w:cs="Arial"/>
          <w:sz w:val="22"/>
          <w:lang w:val="en-GB"/>
        </w:rPr>
        <w:t xml:space="preserve"> –</w:t>
      </w:r>
      <w:r w:rsidR="00D12D61" w:rsidRPr="004F73C6">
        <w:rPr>
          <w:rFonts w:ascii="Arial" w:eastAsia="Calibri" w:hAnsi="Arial" w:cs="Arial"/>
          <w:sz w:val="22"/>
          <w:lang w:val="en-GB"/>
        </w:rPr>
        <w:t xml:space="preserve"> </w:t>
      </w:r>
      <w:r w:rsidR="00C30693" w:rsidRPr="004F73C6">
        <w:rPr>
          <w:rFonts w:ascii="Arial" w:eastAsia="Calibri" w:hAnsi="Arial" w:cs="Arial"/>
          <w:i/>
          <w:sz w:val="22"/>
          <w:lang w:val="en-GB"/>
        </w:rPr>
        <w:t>Tanzania</w:t>
      </w:r>
      <w:r w:rsidR="00D12D61" w:rsidRPr="004F73C6">
        <w:rPr>
          <w:rFonts w:ascii="Arial" w:eastAsia="Calibri" w:hAnsi="Arial" w:cs="Arial"/>
          <w:sz w:val="22"/>
          <w:lang w:val="en-GB"/>
        </w:rPr>
        <w:t xml:space="preserve"> being the exception</w:t>
      </w:r>
      <w:r w:rsidR="007F0120" w:rsidRPr="004F73C6">
        <w:rPr>
          <w:rFonts w:ascii="Arial" w:eastAsia="Calibri" w:hAnsi="Arial" w:cs="Arial"/>
          <w:sz w:val="22"/>
          <w:lang w:val="en-GB"/>
        </w:rPr>
        <w:t xml:space="preserve">. </w:t>
      </w:r>
    </w:p>
    <w:p w14:paraId="0FD09DAB" w14:textId="36515D1D" w:rsidR="009567AC" w:rsidRPr="004F73C6" w:rsidRDefault="002A7E76"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The </w:t>
      </w:r>
      <w:r w:rsidR="00F87813" w:rsidRPr="004F73C6">
        <w:rPr>
          <w:rFonts w:ascii="Arial" w:eastAsia="Calibri" w:hAnsi="Arial" w:cs="Arial"/>
          <w:sz w:val="22"/>
          <w:lang w:val="en-GB"/>
        </w:rPr>
        <w:t xml:space="preserve">review found </w:t>
      </w:r>
      <w:r w:rsidR="00934A7C" w:rsidRPr="004F73C6">
        <w:rPr>
          <w:rFonts w:ascii="Arial" w:eastAsia="Calibri" w:hAnsi="Arial" w:cs="Arial"/>
          <w:sz w:val="22"/>
          <w:lang w:val="en-GB"/>
        </w:rPr>
        <w:t xml:space="preserve">that </w:t>
      </w:r>
      <w:r w:rsidR="00AC4315" w:rsidRPr="004F73C6">
        <w:rPr>
          <w:rFonts w:ascii="Arial" w:eastAsia="Calibri" w:hAnsi="Arial" w:cs="Arial"/>
          <w:sz w:val="22"/>
          <w:lang w:val="en-GB"/>
        </w:rPr>
        <w:t xml:space="preserve">evidence </w:t>
      </w:r>
      <w:r w:rsidRPr="004F73C6">
        <w:rPr>
          <w:rFonts w:ascii="Arial" w:eastAsia="Calibri" w:hAnsi="Arial" w:cs="Arial"/>
          <w:sz w:val="22"/>
          <w:lang w:val="en-GB"/>
        </w:rPr>
        <w:t>relating to policy influencing work is more difficult to assess</w:t>
      </w:r>
      <w:r w:rsidR="00934A7C" w:rsidRPr="004F73C6">
        <w:rPr>
          <w:rFonts w:ascii="Arial" w:eastAsia="Calibri" w:hAnsi="Arial" w:cs="Arial"/>
          <w:sz w:val="22"/>
          <w:lang w:val="en-GB"/>
        </w:rPr>
        <w:t xml:space="preserve">. The country reviews provide </w:t>
      </w:r>
      <w:r w:rsidR="005327D4" w:rsidRPr="004F73C6">
        <w:rPr>
          <w:rFonts w:ascii="Arial" w:eastAsia="Calibri" w:hAnsi="Arial" w:cs="Arial"/>
          <w:sz w:val="22"/>
          <w:lang w:val="en-GB"/>
        </w:rPr>
        <w:t xml:space="preserve">some </w:t>
      </w:r>
      <w:r w:rsidR="00934A7C" w:rsidRPr="004F73C6">
        <w:rPr>
          <w:rFonts w:ascii="Arial" w:eastAsia="Calibri" w:hAnsi="Arial" w:cs="Arial"/>
          <w:sz w:val="22"/>
          <w:lang w:val="en-GB"/>
        </w:rPr>
        <w:t xml:space="preserve">evidence that </w:t>
      </w:r>
      <w:r w:rsidR="00F87813" w:rsidRPr="004F73C6">
        <w:rPr>
          <w:rFonts w:ascii="Arial" w:eastAsia="Calibri" w:hAnsi="Arial" w:cs="Arial"/>
          <w:sz w:val="22"/>
          <w:lang w:val="en-GB"/>
        </w:rPr>
        <w:t xml:space="preserve">work in this area is </w:t>
      </w:r>
      <w:r w:rsidR="00B74DAD" w:rsidRPr="004F73C6">
        <w:rPr>
          <w:rFonts w:ascii="Arial" w:eastAsia="Calibri" w:hAnsi="Arial" w:cs="Arial"/>
          <w:sz w:val="22"/>
          <w:lang w:val="en-GB"/>
        </w:rPr>
        <w:t xml:space="preserve">generally </w:t>
      </w:r>
      <w:r w:rsidR="007F0120" w:rsidRPr="004F73C6">
        <w:rPr>
          <w:rFonts w:ascii="Arial" w:eastAsia="Calibri" w:hAnsi="Arial" w:cs="Arial"/>
          <w:sz w:val="22"/>
          <w:lang w:val="en-GB"/>
        </w:rPr>
        <w:t>on track</w:t>
      </w:r>
      <w:r w:rsidR="009A5943" w:rsidRPr="004F73C6">
        <w:rPr>
          <w:rFonts w:ascii="Arial" w:eastAsia="Calibri" w:hAnsi="Arial" w:cs="Arial"/>
          <w:sz w:val="22"/>
          <w:lang w:val="en-GB"/>
        </w:rPr>
        <w:t>, except for international/regional policy engagement (output indicator 3.1C)</w:t>
      </w:r>
    </w:p>
    <w:p w14:paraId="565BCE90" w14:textId="76D97B58" w:rsidR="009940FB" w:rsidRPr="004F73C6" w:rsidRDefault="003539D0"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As might be expected, evidence for progress </w:t>
      </w:r>
      <w:r w:rsidR="00066074" w:rsidRPr="004F73C6">
        <w:rPr>
          <w:rFonts w:ascii="Arial" w:eastAsia="Calibri" w:hAnsi="Arial" w:cs="Arial"/>
          <w:sz w:val="22"/>
          <w:lang w:val="en-GB"/>
        </w:rPr>
        <w:t xml:space="preserve">is </w:t>
      </w:r>
      <w:r w:rsidRPr="004F73C6">
        <w:rPr>
          <w:rFonts w:ascii="Arial" w:eastAsia="Calibri" w:hAnsi="Arial" w:cs="Arial"/>
          <w:sz w:val="22"/>
          <w:lang w:val="en-GB"/>
        </w:rPr>
        <w:t xml:space="preserve">stronger in countries </w:t>
      </w:r>
      <w:r w:rsidR="00F35097" w:rsidRPr="004F73C6">
        <w:rPr>
          <w:rFonts w:ascii="Arial" w:eastAsia="Calibri" w:hAnsi="Arial" w:cs="Arial"/>
          <w:sz w:val="22"/>
          <w:lang w:val="en-GB"/>
        </w:rPr>
        <w:t xml:space="preserve">where HelpAge </w:t>
      </w:r>
      <w:r w:rsidRPr="004F73C6">
        <w:rPr>
          <w:rFonts w:ascii="Arial" w:eastAsia="Calibri" w:hAnsi="Arial" w:cs="Arial"/>
          <w:sz w:val="22"/>
          <w:lang w:val="en-GB"/>
        </w:rPr>
        <w:t>ha</w:t>
      </w:r>
      <w:r w:rsidR="00F35097" w:rsidRPr="004F73C6">
        <w:rPr>
          <w:rFonts w:ascii="Arial" w:eastAsia="Calibri" w:hAnsi="Arial" w:cs="Arial"/>
          <w:sz w:val="22"/>
          <w:lang w:val="en-GB"/>
        </w:rPr>
        <w:t>s</w:t>
      </w:r>
      <w:r w:rsidRPr="004F73C6">
        <w:rPr>
          <w:rFonts w:ascii="Arial" w:eastAsia="Calibri" w:hAnsi="Arial" w:cs="Arial"/>
          <w:sz w:val="22"/>
          <w:lang w:val="en-GB"/>
        </w:rPr>
        <w:t xml:space="preserve"> a </w:t>
      </w:r>
      <w:r w:rsidR="00C1406B" w:rsidRPr="004F73C6">
        <w:rPr>
          <w:rFonts w:ascii="Arial" w:eastAsia="Calibri" w:hAnsi="Arial" w:cs="Arial"/>
          <w:sz w:val="22"/>
          <w:lang w:val="en-GB"/>
        </w:rPr>
        <w:t xml:space="preserve">comparatively </w:t>
      </w:r>
      <w:r w:rsidR="00F35097" w:rsidRPr="004F73C6">
        <w:rPr>
          <w:rFonts w:ascii="Arial" w:eastAsia="Calibri" w:hAnsi="Arial" w:cs="Arial"/>
          <w:sz w:val="22"/>
          <w:lang w:val="en-GB"/>
        </w:rPr>
        <w:t xml:space="preserve">large programme and </w:t>
      </w:r>
      <w:r w:rsidRPr="004F73C6">
        <w:rPr>
          <w:rFonts w:ascii="Arial" w:eastAsia="Calibri" w:hAnsi="Arial" w:cs="Arial"/>
          <w:sz w:val="22"/>
          <w:lang w:val="en-GB"/>
        </w:rPr>
        <w:t>long</w:t>
      </w:r>
      <w:r w:rsidR="00C1406B" w:rsidRPr="004F73C6">
        <w:rPr>
          <w:rFonts w:ascii="Arial" w:eastAsia="Calibri" w:hAnsi="Arial" w:cs="Arial"/>
          <w:sz w:val="22"/>
          <w:lang w:val="en-GB"/>
        </w:rPr>
        <w:t>er</w:t>
      </w:r>
      <w:r w:rsidRPr="004F73C6">
        <w:rPr>
          <w:rFonts w:ascii="Arial" w:eastAsia="Calibri" w:hAnsi="Arial" w:cs="Arial"/>
          <w:sz w:val="22"/>
          <w:lang w:val="en-GB"/>
        </w:rPr>
        <w:t xml:space="preserve"> history of intervention</w:t>
      </w:r>
      <w:r w:rsidR="00AA6F7A" w:rsidRPr="004F73C6">
        <w:rPr>
          <w:rFonts w:ascii="Arial" w:eastAsia="Calibri" w:hAnsi="Arial" w:cs="Arial"/>
          <w:sz w:val="22"/>
          <w:lang w:val="en-GB"/>
        </w:rPr>
        <w:t xml:space="preserve">. This </w:t>
      </w:r>
      <w:r w:rsidRPr="004F73C6">
        <w:rPr>
          <w:rFonts w:ascii="Arial" w:eastAsia="Calibri" w:hAnsi="Arial" w:cs="Arial"/>
          <w:sz w:val="22"/>
          <w:lang w:val="en-GB"/>
        </w:rPr>
        <w:t>suggest</w:t>
      </w:r>
      <w:r w:rsidR="00AA6F7A" w:rsidRPr="004F73C6">
        <w:rPr>
          <w:rFonts w:ascii="Arial" w:eastAsia="Calibri" w:hAnsi="Arial" w:cs="Arial"/>
          <w:sz w:val="22"/>
          <w:lang w:val="en-GB"/>
        </w:rPr>
        <w:t>s</w:t>
      </w:r>
      <w:r w:rsidRPr="004F73C6">
        <w:rPr>
          <w:rFonts w:ascii="Arial" w:eastAsia="Calibri" w:hAnsi="Arial" w:cs="Arial"/>
          <w:sz w:val="22"/>
          <w:lang w:val="en-GB"/>
        </w:rPr>
        <w:t xml:space="preserve"> that </w:t>
      </w:r>
      <w:r w:rsidR="0013024B" w:rsidRPr="004F73C6">
        <w:rPr>
          <w:rFonts w:ascii="Arial" w:eastAsia="Calibri" w:hAnsi="Arial" w:cs="Arial"/>
          <w:sz w:val="22"/>
          <w:lang w:val="en-GB"/>
        </w:rPr>
        <w:t xml:space="preserve">some </w:t>
      </w:r>
      <w:r w:rsidRPr="004F73C6">
        <w:rPr>
          <w:rFonts w:ascii="Arial" w:eastAsia="Calibri" w:hAnsi="Arial" w:cs="Arial"/>
          <w:sz w:val="22"/>
          <w:lang w:val="en-GB"/>
        </w:rPr>
        <w:t xml:space="preserve">results </w:t>
      </w:r>
      <w:r w:rsidR="0013024B" w:rsidRPr="004F73C6">
        <w:rPr>
          <w:rFonts w:ascii="Arial" w:eastAsia="Calibri" w:hAnsi="Arial" w:cs="Arial"/>
          <w:sz w:val="22"/>
          <w:lang w:val="en-GB"/>
        </w:rPr>
        <w:t xml:space="preserve">may </w:t>
      </w:r>
      <w:r w:rsidR="00C1406B" w:rsidRPr="004F73C6">
        <w:rPr>
          <w:rFonts w:ascii="Arial" w:eastAsia="Calibri" w:hAnsi="Arial" w:cs="Arial"/>
          <w:sz w:val="22"/>
          <w:lang w:val="en-GB"/>
        </w:rPr>
        <w:t>accrue</w:t>
      </w:r>
      <w:r w:rsidRPr="004F73C6">
        <w:rPr>
          <w:rFonts w:ascii="Arial" w:eastAsia="Calibri" w:hAnsi="Arial" w:cs="Arial"/>
          <w:sz w:val="22"/>
          <w:lang w:val="en-GB"/>
        </w:rPr>
        <w:t xml:space="preserve"> from </w:t>
      </w:r>
      <w:r w:rsidR="0013024B" w:rsidRPr="004F73C6">
        <w:rPr>
          <w:rFonts w:ascii="Arial" w:eastAsia="Calibri" w:hAnsi="Arial" w:cs="Arial"/>
          <w:sz w:val="22"/>
          <w:lang w:val="en-GB"/>
        </w:rPr>
        <w:t xml:space="preserve">efforts </w:t>
      </w:r>
      <w:r w:rsidR="00F35097" w:rsidRPr="004F73C6">
        <w:rPr>
          <w:rFonts w:ascii="Arial" w:eastAsia="Calibri" w:hAnsi="Arial" w:cs="Arial"/>
          <w:sz w:val="22"/>
          <w:lang w:val="en-GB"/>
        </w:rPr>
        <w:t>pre-dating the AFFORD programme</w:t>
      </w:r>
      <w:r w:rsidRPr="004F73C6">
        <w:rPr>
          <w:rFonts w:ascii="Arial" w:eastAsia="Calibri" w:hAnsi="Arial" w:cs="Arial"/>
          <w:sz w:val="22"/>
          <w:lang w:val="en-GB"/>
        </w:rPr>
        <w:t xml:space="preserve">, or </w:t>
      </w:r>
      <w:r w:rsidR="00AA6F7A" w:rsidRPr="004F73C6">
        <w:rPr>
          <w:rFonts w:ascii="Arial" w:eastAsia="Calibri" w:hAnsi="Arial" w:cs="Arial"/>
          <w:sz w:val="22"/>
          <w:lang w:val="en-GB"/>
        </w:rPr>
        <w:t xml:space="preserve">that </w:t>
      </w:r>
      <w:r w:rsidR="00F35097" w:rsidRPr="004F73C6">
        <w:rPr>
          <w:rFonts w:ascii="Arial" w:eastAsia="Calibri" w:hAnsi="Arial" w:cs="Arial"/>
          <w:sz w:val="22"/>
          <w:lang w:val="en-GB"/>
        </w:rPr>
        <w:t xml:space="preserve">evidence gathering </w:t>
      </w:r>
      <w:r w:rsidR="0013024B" w:rsidRPr="004F73C6">
        <w:rPr>
          <w:rFonts w:ascii="Arial" w:eastAsia="Calibri" w:hAnsi="Arial" w:cs="Arial"/>
          <w:sz w:val="22"/>
          <w:lang w:val="en-GB"/>
        </w:rPr>
        <w:t xml:space="preserve">is stronger </w:t>
      </w:r>
      <w:r w:rsidR="00F35097" w:rsidRPr="004F73C6">
        <w:rPr>
          <w:rFonts w:ascii="Arial" w:eastAsia="Calibri" w:hAnsi="Arial" w:cs="Arial"/>
          <w:sz w:val="22"/>
          <w:lang w:val="en-GB"/>
        </w:rPr>
        <w:t>in these locations</w:t>
      </w:r>
      <w:r w:rsidRPr="004F73C6">
        <w:rPr>
          <w:rFonts w:ascii="Arial" w:eastAsia="Calibri" w:hAnsi="Arial" w:cs="Arial"/>
          <w:sz w:val="22"/>
          <w:lang w:val="en-GB"/>
        </w:rPr>
        <w:t xml:space="preserve">. </w:t>
      </w:r>
      <w:r w:rsidR="00F91A2B" w:rsidRPr="004F73C6">
        <w:rPr>
          <w:rFonts w:ascii="Arial" w:eastAsia="Calibri" w:hAnsi="Arial" w:cs="Arial"/>
          <w:sz w:val="22"/>
          <w:lang w:val="en-GB"/>
        </w:rPr>
        <w:t>Accordingly</w:t>
      </w:r>
      <w:r w:rsidR="00AC6E7A" w:rsidRPr="004F73C6">
        <w:rPr>
          <w:rFonts w:ascii="Arial" w:eastAsia="Calibri" w:hAnsi="Arial" w:cs="Arial"/>
          <w:sz w:val="22"/>
          <w:lang w:val="en-GB"/>
        </w:rPr>
        <w:t>, t</w:t>
      </w:r>
      <w:r w:rsidRPr="004F73C6">
        <w:rPr>
          <w:rFonts w:ascii="Arial" w:eastAsia="Calibri" w:hAnsi="Arial" w:cs="Arial"/>
          <w:sz w:val="22"/>
          <w:lang w:val="en-GB"/>
        </w:rPr>
        <w:t xml:space="preserve">he </w:t>
      </w:r>
      <w:r w:rsidR="00F91A2B" w:rsidRPr="004F73C6">
        <w:rPr>
          <w:rFonts w:ascii="Arial" w:eastAsia="Calibri" w:hAnsi="Arial" w:cs="Arial"/>
          <w:sz w:val="22"/>
          <w:lang w:val="en-GB"/>
        </w:rPr>
        <w:t>programme</w:t>
      </w:r>
      <w:r w:rsidR="00AC6E7A" w:rsidRPr="004F73C6">
        <w:rPr>
          <w:rFonts w:ascii="Arial" w:eastAsia="Calibri" w:hAnsi="Arial" w:cs="Arial"/>
          <w:sz w:val="22"/>
          <w:lang w:val="en-GB"/>
        </w:rPr>
        <w:t xml:space="preserve"> in</w:t>
      </w:r>
      <w:r w:rsidR="00AC6E7A" w:rsidRPr="004F73C6">
        <w:rPr>
          <w:rFonts w:ascii="Arial" w:eastAsia="Calibri" w:hAnsi="Arial" w:cs="Arial"/>
          <w:b/>
          <w:sz w:val="22"/>
          <w:lang w:val="en-GB"/>
        </w:rPr>
        <w:t xml:space="preserve"> </w:t>
      </w:r>
      <w:r w:rsidR="00C30693" w:rsidRPr="004F73C6">
        <w:rPr>
          <w:rFonts w:ascii="Arial" w:eastAsia="Calibri" w:hAnsi="Arial" w:cs="Arial"/>
          <w:i/>
          <w:sz w:val="22"/>
          <w:lang w:val="en-GB"/>
        </w:rPr>
        <w:t>Tanzania</w:t>
      </w:r>
      <w:r w:rsidRPr="004F73C6">
        <w:rPr>
          <w:rFonts w:ascii="Arial" w:eastAsia="Calibri" w:hAnsi="Arial" w:cs="Arial"/>
          <w:sz w:val="22"/>
          <w:lang w:val="en-GB"/>
        </w:rPr>
        <w:t xml:space="preserve"> </w:t>
      </w:r>
      <w:r w:rsidR="00AC6E7A" w:rsidRPr="004F73C6">
        <w:rPr>
          <w:rFonts w:ascii="Arial" w:eastAsia="Calibri" w:hAnsi="Arial" w:cs="Arial"/>
          <w:sz w:val="22"/>
          <w:lang w:val="en-GB"/>
        </w:rPr>
        <w:t xml:space="preserve">shows </w:t>
      </w:r>
      <w:r w:rsidR="0013024B" w:rsidRPr="004F73C6">
        <w:rPr>
          <w:rFonts w:ascii="Arial" w:eastAsia="Calibri" w:hAnsi="Arial" w:cs="Arial"/>
          <w:sz w:val="22"/>
          <w:lang w:val="en-GB"/>
        </w:rPr>
        <w:t xml:space="preserve">the furthest </w:t>
      </w:r>
      <w:r w:rsidR="00AC6E7A" w:rsidRPr="004F73C6">
        <w:rPr>
          <w:rFonts w:ascii="Arial" w:eastAsia="Calibri" w:hAnsi="Arial" w:cs="Arial"/>
          <w:sz w:val="22"/>
          <w:lang w:val="en-GB"/>
        </w:rPr>
        <w:t xml:space="preserve">progress against the </w:t>
      </w:r>
      <w:r w:rsidR="00C1406B" w:rsidRPr="004F73C6">
        <w:rPr>
          <w:rFonts w:ascii="Arial" w:eastAsia="Calibri" w:hAnsi="Arial" w:cs="Arial"/>
          <w:sz w:val="22"/>
          <w:lang w:val="en-GB"/>
        </w:rPr>
        <w:t>results framework</w:t>
      </w:r>
      <w:r w:rsidR="00AC6E7A" w:rsidRPr="004F73C6">
        <w:rPr>
          <w:rFonts w:ascii="Arial" w:eastAsia="Calibri" w:hAnsi="Arial" w:cs="Arial"/>
          <w:sz w:val="22"/>
          <w:lang w:val="en-GB"/>
        </w:rPr>
        <w:t xml:space="preserve">, while activities in </w:t>
      </w:r>
      <w:r w:rsidR="00C30693" w:rsidRPr="004F73C6">
        <w:rPr>
          <w:rFonts w:ascii="Arial" w:eastAsia="Calibri" w:hAnsi="Arial" w:cs="Arial"/>
          <w:i/>
          <w:sz w:val="22"/>
          <w:lang w:val="en-GB"/>
        </w:rPr>
        <w:t>South Africa</w:t>
      </w:r>
      <w:r w:rsidR="00AC6E7A" w:rsidRPr="004F73C6">
        <w:rPr>
          <w:rFonts w:ascii="Arial" w:eastAsia="Calibri" w:hAnsi="Arial" w:cs="Arial"/>
          <w:sz w:val="22"/>
          <w:lang w:val="en-GB"/>
        </w:rPr>
        <w:t xml:space="preserve"> </w:t>
      </w:r>
      <w:r w:rsidR="00AA6F7A" w:rsidRPr="004F73C6">
        <w:rPr>
          <w:rFonts w:ascii="Arial" w:eastAsia="Calibri" w:hAnsi="Arial" w:cs="Arial"/>
          <w:sz w:val="22"/>
          <w:lang w:val="en-GB"/>
        </w:rPr>
        <w:t xml:space="preserve">are </w:t>
      </w:r>
      <w:r w:rsidR="00AC6E7A" w:rsidRPr="004F73C6">
        <w:rPr>
          <w:rFonts w:ascii="Arial" w:eastAsia="Calibri" w:hAnsi="Arial" w:cs="Arial"/>
          <w:sz w:val="22"/>
          <w:lang w:val="en-GB"/>
        </w:rPr>
        <w:t xml:space="preserve">still in early stages. </w:t>
      </w:r>
    </w:p>
    <w:p w14:paraId="59D82ECF" w14:textId="582FCE01" w:rsidR="00C96812" w:rsidRPr="004F73C6" w:rsidRDefault="00C96812"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For the development education element in </w:t>
      </w:r>
      <w:r w:rsidR="00C30693" w:rsidRPr="004F73C6">
        <w:rPr>
          <w:rFonts w:ascii="Arial" w:eastAsia="Calibri" w:hAnsi="Arial" w:cs="Arial"/>
          <w:i/>
          <w:sz w:val="22"/>
          <w:lang w:val="en-GB"/>
        </w:rPr>
        <w:t>Ireland</w:t>
      </w:r>
      <w:r w:rsidRPr="004F73C6">
        <w:rPr>
          <w:rFonts w:ascii="Arial" w:eastAsia="Calibri" w:hAnsi="Arial" w:cs="Arial"/>
          <w:sz w:val="22"/>
          <w:lang w:val="en-GB"/>
        </w:rPr>
        <w:t xml:space="preserve">, progress </w:t>
      </w:r>
      <w:r w:rsidR="00F91A2B" w:rsidRPr="004F73C6">
        <w:rPr>
          <w:rFonts w:ascii="Arial" w:eastAsia="Calibri" w:hAnsi="Arial" w:cs="Arial"/>
          <w:sz w:val="22"/>
          <w:lang w:val="en-GB"/>
        </w:rPr>
        <w:t xml:space="preserve">to date has been </w:t>
      </w:r>
      <w:r w:rsidR="00AA6F7A" w:rsidRPr="004F73C6">
        <w:rPr>
          <w:rFonts w:ascii="Arial" w:eastAsia="Calibri" w:hAnsi="Arial" w:cs="Arial"/>
          <w:sz w:val="22"/>
          <w:lang w:val="en-GB"/>
        </w:rPr>
        <w:t xml:space="preserve">strongest </w:t>
      </w:r>
      <w:r w:rsidR="00F91A2B" w:rsidRPr="004F73C6">
        <w:rPr>
          <w:rFonts w:ascii="Arial" w:eastAsia="Calibri" w:hAnsi="Arial" w:cs="Arial"/>
          <w:sz w:val="22"/>
          <w:lang w:val="en-GB"/>
        </w:rPr>
        <w:t xml:space="preserve">in </w:t>
      </w:r>
      <w:r w:rsidRPr="004F73C6">
        <w:rPr>
          <w:rFonts w:ascii="Arial" w:eastAsia="Calibri" w:hAnsi="Arial" w:cs="Arial"/>
          <w:sz w:val="22"/>
          <w:lang w:val="en-GB"/>
        </w:rPr>
        <w:t xml:space="preserve">building awareness </w:t>
      </w:r>
      <w:r w:rsidR="000078A1" w:rsidRPr="004F73C6">
        <w:rPr>
          <w:rFonts w:ascii="Arial" w:eastAsia="Calibri" w:hAnsi="Arial" w:cs="Arial"/>
          <w:sz w:val="22"/>
          <w:lang w:val="en-GB"/>
        </w:rPr>
        <w:t xml:space="preserve">among </w:t>
      </w:r>
      <w:r w:rsidRPr="004F73C6">
        <w:rPr>
          <w:rFonts w:ascii="Arial" w:eastAsia="Calibri" w:hAnsi="Arial" w:cs="Arial"/>
          <w:sz w:val="22"/>
          <w:lang w:val="en-GB"/>
        </w:rPr>
        <w:t xml:space="preserve">Age Action </w:t>
      </w:r>
      <w:r w:rsidR="00C30693" w:rsidRPr="004F73C6">
        <w:rPr>
          <w:rFonts w:ascii="Arial" w:eastAsia="Calibri" w:hAnsi="Arial" w:cs="Arial"/>
          <w:i/>
          <w:sz w:val="22"/>
          <w:lang w:val="en-GB"/>
        </w:rPr>
        <w:t>Ireland</w:t>
      </w:r>
      <w:r w:rsidRPr="004F73C6">
        <w:rPr>
          <w:rFonts w:ascii="Arial" w:eastAsia="Calibri" w:hAnsi="Arial" w:cs="Arial"/>
          <w:sz w:val="22"/>
          <w:lang w:val="en-GB"/>
        </w:rPr>
        <w:t xml:space="preserve"> members and supporters</w:t>
      </w:r>
      <w:r w:rsidR="00C1406B" w:rsidRPr="004F73C6">
        <w:rPr>
          <w:rFonts w:ascii="Arial" w:eastAsia="Calibri" w:hAnsi="Arial" w:cs="Arial"/>
          <w:sz w:val="22"/>
          <w:lang w:val="en-GB"/>
        </w:rPr>
        <w:t>. T</w:t>
      </w:r>
      <w:r w:rsidRPr="004F73C6">
        <w:rPr>
          <w:rFonts w:ascii="Arial" w:eastAsia="Calibri" w:hAnsi="Arial" w:cs="Arial"/>
          <w:sz w:val="22"/>
          <w:lang w:val="en-GB"/>
        </w:rPr>
        <w:t xml:space="preserve">he review found </w:t>
      </w:r>
      <w:r w:rsidR="00A71520" w:rsidRPr="004F73C6">
        <w:rPr>
          <w:rFonts w:ascii="Arial" w:eastAsia="Calibri" w:hAnsi="Arial" w:cs="Arial"/>
          <w:sz w:val="22"/>
          <w:lang w:val="en-GB"/>
        </w:rPr>
        <w:t xml:space="preserve">that much had been done to </w:t>
      </w:r>
      <w:r w:rsidR="00023A03" w:rsidRPr="004F73C6">
        <w:rPr>
          <w:rFonts w:ascii="Arial" w:eastAsia="Calibri" w:hAnsi="Arial" w:cs="Arial"/>
          <w:sz w:val="22"/>
          <w:lang w:val="en-GB"/>
        </w:rPr>
        <w:t>lay the foundation</w:t>
      </w:r>
      <w:r w:rsidR="000078A1" w:rsidRPr="004F73C6">
        <w:rPr>
          <w:rFonts w:ascii="Arial" w:eastAsia="Calibri" w:hAnsi="Arial" w:cs="Arial"/>
          <w:sz w:val="22"/>
          <w:lang w:val="en-GB"/>
        </w:rPr>
        <w:t>s</w:t>
      </w:r>
      <w:r w:rsidR="00023A03" w:rsidRPr="004F73C6">
        <w:rPr>
          <w:rFonts w:ascii="Arial" w:eastAsia="Calibri" w:hAnsi="Arial" w:cs="Arial"/>
          <w:sz w:val="22"/>
          <w:lang w:val="en-GB"/>
        </w:rPr>
        <w:t xml:space="preserve"> </w:t>
      </w:r>
      <w:r w:rsidR="000078A1" w:rsidRPr="004F73C6">
        <w:rPr>
          <w:rFonts w:ascii="Arial" w:eastAsia="Calibri" w:hAnsi="Arial" w:cs="Arial"/>
          <w:sz w:val="22"/>
          <w:lang w:val="en-GB"/>
        </w:rPr>
        <w:t xml:space="preserve">for developing </w:t>
      </w:r>
      <w:r w:rsidR="00A71520" w:rsidRPr="004F73C6">
        <w:rPr>
          <w:rFonts w:ascii="Arial" w:eastAsia="Calibri" w:hAnsi="Arial" w:cs="Arial"/>
          <w:sz w:val="22"/>
          <w:lang w:val="en-GB"/>
        </w:rPr>
        <w:t>awareness among NGOs</w:t>
      </w:r>
      <w:r w:rsidR="00023A03" w:rsidRPr="004F73C6">
        <w:rPr>
          <w:rFonts w:ascii="Arial" w:eastAsia="Calibri" w:hAnsi="Arial" w:cs="Arial"/>
          <w:sz w:val="22"/>
          <w:lang w:val="en-GB"/>
        </w:rPr>
        <w:t xml:space="preserve"> –</w:t>
      </w:r>
      <w:r w:rsidR="00C1406B" w:rsidRPr="004F73C6">
        <w:rPr>
          <w:rFonts w:ascii="Arial" w:eastAsia="Calibri" w:hAnsi="Arial" w:cs="Arial"/>
          <w:sz w:val="22"/>
          <w:lang w:val="en-GB"/>
        </w:rPr>
        <w:t xml:space="preserve"> and </w:t>
      </w:r>
      <w:r w:rsidR="000078A1" w:rsidRPr="004F73C6">
        <w:rPr>
          <w:rFonts w:ascii="Arial" w:eastAsia="Calibri" w:hAnsi="Arial" w:cs="Arial"/>
          <w:sz w:val="22"/>
          <w:lang w:val="en-GB"/>
        </w:rPr>
        <w:t xml:space="preserve">the </w:t>
      </w:r>
      <w:r w:rsidR="00023A03" w:rsidRPr="004F73C6">
        <w:rPr>
          <w:rFonts w:ascii="Arial" w:eastAsia="Calibri" w:hAnsi="Arial" w:cs="Arial"/>
          <w:sz w:val="22"/>
          <w:lang w:val="en-GB"/>
        </w:rPr>
        <w:t>potential to build on this is high</w:t>
      </w:r>
      <w:r w:rsidR="00A71520" w:rsidRPr="004F73C6">
        <w:rPr>
          <w:rFonts w:ascii="Arial" w:eastAsia="Calibri" w:hAnsi="Arial" w:cs="Arial"/>
          <w:sz w:val="22"/>
          <w:lang w:val="en-GB"/>
        </w:rPr>
        <w:t xml:space="preserve">. Work to raise awareness of ageing and development issues among politicians and political parties in </w:t>
      </w:r>
      <w:r w:rsidR="00C30693" w:rsidRPr="004F73C6">
        <w:rPr>
          <w:rFonts w:ascii="Arial" w:eastAsia="Calibri" w:hAnsi="Arial" w:cs="Arial"/>
          <w:i/>
          <w:sz w:val="22"/>
          <w:lang w:val="en-GB"/>
        </w:rPr>
        <w:t>Ireland</w:t>
      </w:r>
      <w:r w:rsidR="00A71520" w:rsidRPr="004F73C6">
        <w:rPr>
          <w:rFonts w:ascii="Arial" w:eastAsia="Calibri" w:hAnsi="Arial" w:cs="Arial"/>
          <w:sz w:val="22"/>
          <w:lang w:val="en-GB"/>
        </w:rPr>
        <w:t xml:space="preserve"> was still in early stages.</w:t>
      </w:r>
    </w:p>
    <w:p w14:paraId="6D6F3D61" w14:textId="78F676C1" w:rsidR="00154F51" w:rsidRPr="004F73C6" w:rsidRDefault="00A5536A" w:rsidP="00A84F73">
      <w:pPr>
        <w:rPr>
          <w:rFonts w:ascii="Arial" w:eastAsia="Calibri" w:hAnsi="Arial" w:cs="Arial"/>
          <w:sz w:val="22"/>
          <w:lang w:val="en-GB"/>
        </w:rPr>
      </w:pPr>
      <w:r w:rsidRPr="004F73C6">
        <w:rPr>
          <w:rFonts w:ascii="Arial" w:eastAsia="Calibri" w:hAnsi="Arial" w:cs="Arial"/>
          <w:sz w:val="22"/>
          <w:lang w:val="en-GB"/>
        </w:rPr>
        <w:t xml:space="preserve">The boxes below outline </w:t>
      </w:r>
      <w:r w:rsidR="00711798" w:rsidRPr="004F73C6">
        <w:rPr>
          <w:rFonts w:ascii="Arial" w:eastAsia="Calibri" w:hAnsi="Arial" w:cs="Arial"/>
          <w:sz w:val="22"/>
          <w:lang w:val="en-GB"/>
        </w:rPr>
        <w:t xml:space="preserve">key </w:t>
      </w:r>
      <w:r w:rsidR="00154F51" w:rsidRPr="004F73C6">
        <w:rPr>
          <w:rFonts w:ascii="Arial" w:eastAsia="Calibri" w:hAnsi="Arial" w:cs="Arial"/>
          <w:sz w:val="22"/>
          <w:lang w:val="en-GB"/>
        </w:rPr>
        <w:t xml:space="preserve">observations </w:t>
      </w:r>
      <w:r w:rsidR="004E0A50" w:rsidRPr="004F73C6">
        <w:rPr>
          <w:rFonts w:ascii="Arial" w:eastAsia="Calibri" w:hAnsi="Arial" w:cs="Arial"/>
          <w:sz w:val="22"/>
          <w:lang w:val="en-GB"/>
        </w:rPr>
        <w:t xml:space="preserve">on progress </w:t>
      </w:r>
      <w:r w:rsidR="00277AC6" w:rsidRPr="004F73C6">
        <w:rPr>
          <w:rFonts w:ascii="Arial" w:eastAsia="Calibri" w:hAnsi="Arial" w:cs="Arial"/>
          <w:sz w:val="22"/>
          <w:lang w:val="en-GB"/>
        </w:rPr>
        <w:t xml:space="preserve">from the </w:t>
      </w:r>
      <w:r w:rsidR="00F04279" w:rsidRPr="004F73C6">
        <w:rPr>
          <w:rFonts w:ascii="Arial" w:eastAsia="Calibri" w:hAnsi="Arial" w:cs="Arial"/>
          <w:sz w:val="22"/>
          <w:lang w:val="en-GB"/>
        </w:rPr>
        <w:t xml:space="preserve">country-level </w:t>
      </w:r>
      <w:r w:rsidR="00277AC6" w:rsidRPr="004F73C6">
        <w:rPr>
          <w:rFonts w:ascii="Arial" w:eastAsia="Calibri" w:hAnsi="Arial" w:cs="Arial"/>
          <w:sz w:val="22"/>
          <w:lang w:val="en-GB"/>
        </w:rPr>
        <w:t>review</w:t>
      </w:r>
      <w:r w:rsidR="00F04279" w:rsidRPr="004F73C6">
        <w:rPr>
          <w:rFonts w:ascii="Arial" w:eastAsia="Calibri" w:hAnsi="Arial" w:cs="Arial"/>
          <w:sz w:val="22"/>
          <w:lang w:val="en-GB"/>
        </w:rPr>
        <w:t>s</w:t>
      </w:r>
      <w:r w:rsidR="001B263D" w:rsidRPr="004F73C6">
        <w:rPr>
          <w:rFonts w:ascii="Arial" w:eastAsia="Calibri" w:hAnsi="Arial" w:cs="Arial"/>
          <w:sz w:val="22"/>
          <w:lang w:val="en-GB"/>
        </w:rPr>
        <w:t>.</w:t>
      </w:r>
      <w:r w:rsidR="009008BB" w:rsidRPr="004F73C6">
        <w:rPr>
          <w:rStyle w:val="FootnoteReference"/>
          <w:rFonts w:ascii="Arial" w:eastAsia="Calibri" w:hAnsi="Arial" w:cs="Arial"/>
          <w:sz w:val="22"/>
          <w:lang w:val="en-GB"/>
        </w:rPr>
        <w:footnoteReference w:id="7"/>
      </w:r>
    </w:p>
    <w:p w14:paraId="2D0F6486" w14:textId="77777777" w:rsidR="00245294" w:rsidRPr="004F73C6" w:rsidRDefault="00245294" w:rsidP="00A84F73">
      <w:pPr>
        <w:rPr>
          <w:rFonts w:ascii="Arial" w:eastAsia="Calibri" w:hAnsi="Arial" w:cs="Arial"/>
          <w:sz w:val="22"/>
          <w:lang w:val="en-GB"/>
        </w:rPr>
      </w:pPr>
    </w:p>
    <w:tbl>
      <w:tblPr>
        <w:tblStyle w:val="TableGrid"/>
        <w:tblW w:w="0" w:type="auto"/>
        <w:tblLook w:val="04A0" w:firstRow="1" w:lastRow="0" w:firstColumn="1" w:lastColumn="0" w:noHBand="0" w:noVBand="1"/>
      </w:tblPr>
      <w:tblGrid>
        <w:gridCol w:w="9576"/>
      </w:tblGrid>
      <w:tr w:rsidR="00154F51" w:rsidRPr="004F73C6" w14:paraId="661E3338" w14:textId="77777777" w:rsidTr="003A0BEC">
        <w:tc>
          <w:tcPr>
            <w:tcW w:w="9576" w:type="dxa"/>
            <w:shd w:val="clear" w:color="auto" w:fill="D9D9D9" w:themeFill="background1" w:themeFillShade="D9"/>
          </w:tcPr>
          <w:p w14:paraId="17E9C871" w14:textId="77777777" w:rsidR="00154F51" w:rsidRPr="004F73C6" w:rsidRDefault="00154F51" w:rsidP="00154F51">
            <w:pPr>
              <w:rPr>
                <w:b/>
                <w:lang w:val="en-GB"/>
              </w:rPr>
            </w:pPr>
          </w:p>
          <w:p w14:paraId="54E392CB" w14:textId="1E5E2B70" w:rsidR="00154F51" w:rsidRPr="004F73C6" w:rsidRDefault="00C30693" w:rsidP="00154F51">
            <w:pPr>
              <w:rPr>
                <w:b/>
                <w:lang w:val="en-GB"/>
              </w:rPr>
            </w:pPr>
            <w:r w:rsidRPr="004F73C6">
              <w:rPr>
                <w:b/>
                <w:i/>
                <w:lang w:val="en-GB"/>
              </w:rPr>
              <w:t>MOZAMBIQUE</w:t>
            </w:r>
          </w:p>
          <w:p w14:paraId="39835654" w14:textId="77777777" w:rsidR="00154F51" w:rsidRPr="004F73C6" w:rsidRDefault="00154F51" w:rsidP="00154F51">
            <w:pPr>
              <w:rPr>
                <w:b/>
                <w:lang w:val="en-GB"/>
              </w:rPr>
            </w:pPr>
            <w:r w:rsidRPr="004F73C6">
              <w:rPr>
                <w:b/>
                <w:lang w:val="en-GB"/>
              </w:rPr>
              <w:t>Social Protection (result area 1)</w:t>
            </w:r>
          </w:p>
          <w:p w14:paraId="7E93B385" w14:textId="77777777" w:rsidR="00154F51" w:rsidRPr="004F73C6" w:rsidRDefault="00154F51" w:rsidP="00EF6741">
            <w:pPr>
              <w:pStyle w:val="ListParagraph"/>
              <w:numPr>
                <w:ilvl w:val="0"/>
                <w:numId w:val="8"/>
              </w:numPr>
              <w:rPr>
                <w:lang w:val="en-GB"/>
              </w:rPr>
            </w:pPr>
            <w:r w:rsidRPr="004F73C6">
              <w:rPr>
                <w:lang w:val="en-GB"/>
              </w:rPr>
              <w:t>the increase in coverage and value of cash transfers is on track</w:t>
            </w:r>
          </w:p>
          <w:p w14:paraId="035B01D0" w14:textId="4B8BE1A4" w:rsidR="00154F51" w:rsidRPr="004F73C6" w:rsidRDefault="00154F51" w:rsidP="00EF6741">
            <w:pPr>
              <w:pStyle w:val="ListParagraph"/>
              <w:numPr>
                <w:ilvl w:val="0"/>
                <w:numId w:val="8"/>
              </w:numPr>
              <w:rPr>
                <w:lang w:val="en-GB"/>
              </w:rPr>
            </w:pPr>
            <w:r w:rsidRPr="004F73C6">
              <w:rPr>
                <w:lang w:val="en-GB"/>
              </w:rPr>
              <w:t xml:space="preserve">there is good evidence of increased mobilisation of OPAs and community monitors, improved visibility of the </w:t>
            </w:r>
            <w:r w:rsidR="00C30693" w:rsidRPr="004F73C6">
              <w:rPr>
                <w:i/>
                <w:lang w:val="en-GB"/>
              </w:rPr>
              <w:t>Mozambique</w:t>
            </w:r>
            <w:r w:rsidRPr="004F73C6">
              <w:rPr>
                <w:lang w:val="en-GB"/>
              </w:rPr>
              <w:t xml:space="preserve"> Civil Society Platform, and evidence of HelpAge providing technical support to </w:t>
            </w:r>
            <w:proofErr w:type="spellStart"/>
            <w:r w:rsidRPr="004F73C6">
              <w:rPr>
                <w:lang w:val="en-GB"/>
              </w:rPr>
              <w:t>govt</w:t>
            </w:r>
            <w:proofErr w:type="spellEnd"/>
            <w:r w:rsidRPr="004F73C6">
              <w:rPr>
                <w:lang w:val="en-GB"/>
              </w:rPr>
              <w:t xml:space="preserve"> (e.g. by reviewing </w:t>
            </w:r>
            <w:proofErr w:type="spellStart"/>
            <w:r w:rsidRPr="004F73C6">
              <w:rPr>
                <w:lang w:val="en-GB"/>
              </w:rPr>
              <w:t>govt</w:t>
            </w:r>
            <w:proofErr w:type="spellEnd"/>
            <w:r w:rsidRPr="004F73C6">
              <w:rPr>
                <w:lang w:val="en-GB"/>
              </w:rPr>
              <w:t xml:space="preserve"> strategies)</w:t>
            </w:r>
          </w:p>
          <w:p w14:paraId="55612BDA" w14:textId="77777777" w:rsidR="00154F51" w:rsidRPr="004F73C6" w:rsidRDefault="00154F51" w:rsidP="00154F51">
            <w:pPr>
              <w:rPr>
                <w:b/>
                <w:lang w:val="en-GB"/>
              </w:rPr>
            </w:pPr>
          </w:p>
          <w:p w14:paraId="0BDC393E" w14:textId="77777777" w:rsidR="00154F51" w:rsidRPr="004F73C6" w:rsidRDefault="00154F51" w:rsidP="00154F51">
            <w:pPr>
              <w:rPr>
                <w:b/>
                <w:lang w:val="en-GB"/>
              </w:rPr>
            </w:pPr>
            <w:r w:rsidRPr="004F73C6">
              <w:rPr>
                <w:b/>
                <w:lang w:val="en-GB"/>
              </w:rPr>
              <w:t>Health and HIV services (result area 2)</w:t>
            </w:r>
          </w:p>
          <w:p w14:paraId="1A8CBA58" w14:textId="77777777" w:rsidR="00154F51" w:rsidRPr="004F73C6" w:rsidRDefault="00154F51" w:rsidP="00EF6741">
            <w:pPr>
              <w:pStyle w:val="ListParagraph"/>
              <w:numPr>
                <w:ilvl w:val="0"/>
                <w:numId w:val="19"/>
              </w:numPr>
              <w:rPr>
                <w:lang w:val="en-GB"/>
              </w:rPr>
            </w:pPr>
            <w:r w:rsidRPr="004F73C6">
              <w:rPr>
                <w:lang w:val="en-GB"/>
              </w:rPr>
              <w:t>the programme is unlikely to meet targets on age-friendly health clinics</w:t>
            </w:r>
          </w:p>
          <w:p w14:paraId="23D58C00" w14:textId="144C63C2" w:rsidR="00154F51" w:rsidRPr="004F73C6" w:rsidRDefault="00154F51" w:rsidP="00EF6741">
            <w:pPr>
              <w:pStyle w:val="ListParagraph"/>
              <w:numPr>
                <w:ilvl w:val="0"/>
                <w:numId w:val="19"/>
              </w:numPr>
              <w:rPr>
                <w:lang w:val="en-GB"/>
              </w:rPr>
            </w:pPr>
            <w:r w:rsidRPr="004F73C6">
              <w:rPr>
                <w:lang w:val="en-GB"/>
              </w:rPr>
              <w:t xml:space="preserve">more efforts </w:t>
            </w:r>
            <w:r w:rsidR="00FD7042" w:rsidRPr="004F73C6">
              <w:rPr>
                <w:lang w:val="en-GB"/>
              </w:rPr>
              <w:t xml:space="preserve">will be </w:t>
            </w:r>
            <w:r w:rsidRPr="004F73C6">
              <w:rPr>
                <w:lang w:val="en-GB"/>
              </w:rPr>
              <w:t xml:space="preserve">required to </w:t>
            </w:r>
            <w:r w:rsidR="00FD7042" w:rsidRPr="004F73C6">
              <w:rPr>
                <w:lang w:val="en-GB"/>
              </w:rPr>
              <w:t>increase</w:t>
            </w:r>
            <w:r w:rsidRPr="004F73C6">
              <w:rPr>
                <w:lang w:val="en-GB"/>
              </w:rPr>
              <w:t xml:space="preserve"> the number of health staff trained and using training</w:t>
            </w:r>
          </w:p>
          <w:p w14:paraId="5268A128" w14:textId="192F04C1" w:rsidR="00154F51" w:rsidRPr="004F73C6" w:rsidRDefault="00FD7042" w:rsidP="00EF6741">
            <w:pPr>
              <w:pStyle w:val="ListParagraph"/>
              <w:numPr>
                <w:ilvl w:val="0"/>
                <w:numId w:val="9"/>
              </w:numPr>
              <w:rPr>
                <w:lang w:val="en-GB"/>
              </w:rPr>
            </w:pPr>
            <w:r w:rsidRPr="004F73C6">
              <w:rPr>
                <w:lang w:val="en-GB"/>
              </w:rPr>
              <w:t xml:space="preserve">the level of </w:t>
            </w:r>
            <w:r w:rsidR="00154F51" w:rsidRPr="004F73C6">
              <w:rPr>
                <w:lang w:val="en-GB"/>
              </w:rPr>
              <w:t xml:space="preserve">progress on OP monitoring and accessing HIV services </w:t>
            </w:r>
            <w:r w:rsidR="004F73C6" w:rsidRPr="004F73C6">
              <w:rPr>
                <w:lang w:val="en-GB"/>
              </w:rPr>
              <w:t>requires further verification</w:t>
            </w:r>
          </w:p>
          <w:p w14:paraId="12FB6E79" w14:textId="77777777" w:rsidR="00154F51" w:rsidRPr="004F73C6" w:rsidRDefault="00154F51" w:rsidP="00EF6741">
            <w:pPr>
              <w:pStyle w:val="ListParagraph"/>
              <w:numPr>
                <w:ilvl w:val="0"/>
                <w:numId w:val="19"/>
              </w:numPr>
              <w:rPr>
                <w:lang w:val="en-GB"/>
              </w:rPr>
            </w:pPr>
            <w:r w:rsidRPr="004F73C6">
              <w:rPr>
                <w:lang w:val="en-GB"/>
              </w:rPr>
              <w:t>the current level of knowledge held by OPAs on ageing and HIV issues is poor</w:t>
            </w:r>
          </w:p>
          <w:p w14:paraId="52C9E3DC" w14:textId="4D2E2E88" w:rsidR="00154F51" w:rsidRPr="004F73C6" w:rsidRDefault="00CA07FB" w:rsidP="00EF6741">
            <w:pPr>
              <w:pStyle w:val="ListParagraph"/>
              <w:numPr>
                <w:ilvl w:val="0"/>
                <w:numId w:val="19"/>
              </w:numPr>
              <w:rPr>
                <w:lang w:val="en-GB"/>
              </w:rPr>
            </w:pPr>
            <w:r w:rsidRPr="004F73C6">
              <w:rPr>
                <w:lang w:val="en-GB"/>
              </w:rPr>
              <w:t>t</w:t>
            </w:r>
            <w:r w:rsidR="00154F51" w:rsidRPr="004F73C6">
              <w:rPr>
                <w:lang w:val="en-GB"/>
              </w:rPr>
              <w:t>he programme requires a clearer strategy to mainstream age-friendly health services in provincial plans and budgets</w:t>
            </w:r>
          </w:p>
          <w:p w14:paraId="263748D6" w14:textId="77777777" w:rsidR="00154F51" w:rsidRPr="004F73C6" w:rsidRDefault="00154F51" w:rsidP="00154F51">
            <w:pPr>
              <w:pStyle w:val="ListParagraph"/>
              <w:rPr>
                <w:lang w:val="en-GB"/>
              </w:rPr>
            </w:pPr>
          </w:p>
          <w:p w14:paraId="31F21262" w14:textId="2A5472C5" w:rsidR="00154F51" w:rsidRPr="004F73C6" w:rsidRDefault="00154F51" w:rsidP="00154F51">
            <w:pPr>
              <w:rPr>
                <w:b/>
                <w:lang w:val="en-GB"/>
              </w:rPr>
            </w:pPr>
            <w:r w:rsidRPr="004F73C6">
              <w:rPr>
                <w:b/>
                <w:lang w:val="en-GB"/>
              </w:rPr>
              <w:t xml:space="preserve">Public policy </w:t>
            </w:r>
            <w:r w:rsidR="00FD7042" w:rsidRPr="004F73C6">
              <w:rPr>
                <w:b/>
                <w:lang w:val="en-GB"/>
              </w:rPr>
              <w:t xml:space="preserve">(result area </w:t>
            </w:r>
            <w:r w:rsidRPr="004F73C6">
              <w:rPr>
                <w:b/>
                <w:lang w:val="en-GB"/>
              </w:rPr>
              <w:t>3</w:t>
            </w:r>
            <w:r w:rsidR="00FD7042" w:rsidRPr="004F73C6">
              <w:rPr>
                <w:b/>
                <w:lang w:val="en-GB"/>
              </w:rPr>
              <w:t>)</w:t>
            </w:r>
          </w:p>
          <w:p w14:paraId="2EB80EDF" w14:textId="66F7DD02" w:rsidR="00154F51" w:rsidRPr="004F73C6" w:rsidRDefault="00CA07FB" w:rsidP="00EF6741">
            <w:pPr>
              <w:pStyle w:val="ListParagraph"/>
              <w:numPr>
                <w:ilvl w:val="0"/>
                <w:numId w:val="10"/>
              </w:numPr>
              <w:rPr>
                <w:lang w:val="en-GB"/>
              </w:rPr>
            </w:pPr>
            <w:r w:rsidRPr="004F73C6">
              <w:rPr>
                <w:lang w:val="en-GB"/>
              </w:rPr>
              <w:t>t</w:t>
            </w:r>
            <w:r w:rsidR="00154F51" w:rsidRPr="004F73C6">
              <w:rPr>
                <w:lang w:val="en-GB"/>
              </w:rPr>
              <w:t xml:space="preserve">here </w:t>
            </w:r>
            <w:r w:rsidRPr="004F73C6">
              <w:rPr>
                <w:lang w:val="en-GB"/>
              </w:rPr>
              <w:t>is</w:t>
            </w:r>
            <w:r w:rsidR="00154F51" w:rsidRPr="004F73C6">
              <w:rPr>
                <w:lang w:val="en-GB"/>
              </w:rPr>
              <w:t xml:space="preserve"> good coverage of older people’s concerns in national policy - targets could be exceeded</w:t>
            </w:r>
          </w:p>
          <w:p w14:paraId="661F4F9C" w14:textId="1D44547D" w:rsidR="00154F51" w:rsidRPr="004F73C6" w:rsidRDefault="00CA07FB" w:rsidP="00EF6741">
            <w:pPr>
              <w:pStyle w:val="ListParagraph"/>
              <w:numPr>
                <w:ilvl w:val="0"/>
                <w:numId w:val="10"/>
              </w:numPr>
              <w:rPr>
                <w:lang w:val="en-GB"/>
              </w:rPr>
            </w:pPr>
            <w:r w:rsidRPr="004F73C6">
              <w:rPr>
                <w:lang w:val="en-GB"/>
              </w:rPr>
              <w:t>t</w:t>
            </w:r>
            <w:r w:rsidR="00154F51" w:rsidRPr="004F73C6">
              <w:rPr>
                <w:lang w:val="en-GB"/>
              </w:rPr>
              <w:t>he progress on media coverage and participation in ‘Age Demands Action’ campaigns is on track</w:t>
            </w:r>
          </w:p>
          <w:p w14:paraId="5A3E0244" w14:textId="38640277" w:rsidR="00154F51" w:rsidRPr="004F73C6" w:rsidRDefault="00CA07FB" w:rsidP="00EF6741">
            <w:pPr>
              <w:pStyle w:val="ListParagraph"/>
              <w:numPr>
                <w:ilvl w:val="0"/>
                <w:numId w:val="10"/>
              </w:numPr>
              <w:rPr>
                <w:lang w:val="en-GB"/>
              </w:rPr>
            </w:pPr>
            <w:r w:rsidRPr="004F73C6">
              <w:rPr>
                <w:lang w:val="en-GB"/>
              </w:rPr>
              <w:t>t</w:t>
            </w:r>
            <w:r w:rsidR="00154F51" w:rsidRPr="004F73C6">
              <w:rPr>
                <w:lang w:val="en-GB"/>
              </w:rPr>
              <w:t>here is evidence of a contribution to regional (SADC) policies through APOSEMO</w:t>
            </w:r>
          </w:p>
          <w:p w14:paraId="2C697E47" w14:textId="77777777" w:rsidR="00154F51" w:rsidRPr="004F73C6" w:rsidRDefault="00154F51" w:rsidP="00A84F73">
            <w:pPr>
              <w:rPr>
                <w:lang w:val="en-GB"/>
              </w:rPr>
            </w:pPr>
          </w:p>
        </w:tc>
      </w:tr>
    </w:tbl>
    <w:p w14:paraId="1ABB0EC4" w14:textId="77777777" w:rsidR="00154F51" w:rsidRPr="004F73C6" w:rsidRDefault="00154F51" w:rsidP="00A84F73">
      <w:pPr>
        <w:rPr>
          <w:lang w:val="en-GB"/>
        </w:rPr>
      </w:pPr>
    </w:p>
    <w:tbl>
      <w:tblPr>
        <w:tblStyle w:val="TableGrid"/>
        <w:tblW w:w="0" w:type="auto"/>
        <w:tblLook w:val="04A0" w:firstRow="1" w:lastRow="0" w:firstColumn="1" w:lastColumn="0" w:noHBand="0" w:noVBand="1"/>
      </w:tblPr>
      <w:tblGrid>
        <w:gridCol w:w="9576"/>
      </w:tblGrid>
      <w:tr w:rsidR="00520964" w:rsidRPr="004F73C6" w14:paraId="2F9B8FEB" w14:textId="77777777" w:rsidTr="00023A03">
        <w:tc>
          <w:tcPr>
            <w:tcW w:w="9576" w:type="dxa"/>
            <w:shd w:val="clear" w:color="auto" w:fill="D9D9D9" w:themeFill="background1" w:themeFillShade="D9"/>
          </w:tcPr>
          <w:p w14:paraId="6041DDD8" w14:textId="77777777" w:rsidR="00520964" w:rsidRPr="004F73C6" w:rsidRDefault="00520964" w:rsidP="00520964">
            <w:pPr>
              <w:rPr>
                <w:b/>
                <w:lang w:val="en-GB"/>
              </w:rPr>
            </w:pPr>
          </w:p>
          <w:p w14:paraId="0795C455" w14:textId="20D3185E" w:rsidR="00520964" w:rsidRPr="004F73C6" w:rsidRDefault="00C30693" w:rsidP="00520964">
            <w:pPr>
              <w:rPr>
                <w:b/>
                <w:lang w:val="en-GB"/>
              </w:rPr>
            </w:pPr>
            <w:r w:rsidRPr="004F73C6">
              <w:rPr>
                <w:b/>
                <w:i/>
                <w:lang w:val="en-GB"/>
              </w:rPr>
              <w:t>TANZANIA</w:t>
            </w:r>
          </w:p>
          <w:p w14:paraId="4C3351A4" w14:textId="77777777" w:rsidR="00520964" w:rsidRPr="004F73C6" w:rsidRDefault="00520964" w:rsidP="00520964">
            <w:pPr>
              <w:rPr>
                <w:b/>
                <w:lang w:val="en-GB"/>
              </w:rPr>
            </w:pPr>
            <w:r w:rsidRPr="004F73C6">
              <w:rPr>
                <w:b/>
                <w:lang w:val="en-GB"/>
              </w:rPr>
              <w:t>Social Protection (result area 1)</w:t>
            </w:r>
          </w:p>
          <w:p w14:paraId="49FD7762" w14:textId="5B43736F" w:rsidR="00E65C8A" w:rsidRPr="004F73C6" w:rsidRDefault="00520964" w:rsidP="00EF6741">
            <w:pPr>
              <w:pStyle w:val="ListParagraph"/>
              <w:numPr>
                <w:ilvl w:val="0"/>
                <w:numId w:val="10"/>
              </w:numPr>
              <w:rPr>
                <w:lang w:val="en-GB"/>
              </w:rPr>
            </w:pPr>
            <w:r w:rsidRPr="004F73C6">
              <w:rPr>
                <w:lang w:val="en-GB"/>
              </w:rPr>
              <w:t>the programme is ahead of schedule in responding to requests to government for technical advice on social protection</w:t>
            </w:r>
            <w:r w:rsidR="00E65C8A" w:rsidRPr="004F73C6">
              <w:rPr>
                <w:lang w:val="en-GB"/>
              </w:rPr>
              <w:t xml:space="preserve">; the efforts to improve govt. capacity to deliver is on track; the study tours arranged by HelpAge to visit social protection schemes </w:t>
            </w:r>
            <w:r w:rsidR="00CA07FB" w:rsidRPr="004F73C6">
              <w:rPr>
                <w:lang w:val="en-GB"/>
              </w:rPr>
              <w:t>is an example of this</w:t>
            </w:r>
          </w:p>
          <w:p w14:paraId="173A0DF0" w14:textId="330F80F0" w:rsidR="00520964" w:rsidRPr="004F73C6" w:rsidRDefault="00520964" w:rsidP="00EF6741">
            <w:pPr>
              <w:pStyle w:val="ListParagraph"/>
              <w:numPr>
                <w:ilvl w:val="0"/>
                <w:numId w:val="10"/>
              </w:numPr>
              <w:rPr>
                <w:lang w:val="en-GB"/>
              </w:rPr>
            </w:pPr>
            <w:r w:rsidRPr="004F73C6">
              <w:rPr>
                <w:lang w:val="en-GB"/>
              </w:rPr>
              <w:t>there is increased evidence of support of political parties on social protection</w:t>
            </w:r>
            <w:r w:rsidR="00C74C5E" w:rsidRPr="004F73C6">
              <w:rPr>
                <w:lang w:val="en-GB"/>
              </w:rPr>
              <w:t xml:space="preserve">; with </w:t>
            </w:r>
            <w:r w:rsidRPr="004F73C6">
              <w:rPr>
                <w:lang w:val="en-GB"/>
              </w:rPr>
              <w:t>pension issues enjoy</w:t>
            </w:r>
            <w:r w:rsidR="00C74C5E" w:rsidRPr="004F73C6">
              <w:rPr>
                <w:lang w:val="en-GB"/>
              </w:rPr>
              <w:t>ing</w:t>
            </w:r>
            <w:r w:rsidRPr="004F73C6">
              <w:rPr>
                <w:lang w:val="en-GB"/>
              </w:rPr>
              <w:t xml:space="preserve"> a high profile in political debates</w:t>
            </w:r>
          </w:p>
          <w:p w14:paraId="54F60DDA" w14:textId="302A3B70" w:rsidR="00E65C8A" w:rsidRPr="004F73C6" w:rsidRDefault="00520964" w:rsidP="00EF6741">
            <w:pPr>
              <w:pStyle w:val="ListParagraph"/>
              <w:numPr>
                <w:ilvl w:val="0"/>
                <w:numId w:val="11"/>
              </w:numPr>
              <w:rPr>
                <w:lang w:val="en-GB"/>
              </w:rPr>
            </w:pPr>
            <w:proofErr w:type="gramStart"/>
            <w:r w:rsidRPr="004F73C6">
              <w:rPr>
                <w:lang w:val="en-GB"/>
              </w:rPr>
              <w:t>growth</w:t>
            </w:r>
            <w:proofErr w:type="gramEnd"/>
            <w:r w:rsidRPr="004F73C6">
              <w:rPr>
                <w:lang w:val="en-GB"/>
              </w:rPr>
              <w:t xml:space="preserve"> in the coverage of cash-transfers is behind schedule, but targets are likely to be significantly </w:t>
            </w:r>
            <w:r w:rsidRPr="004F73C6">
              <w:rPr>
                <w:lang w:val="en-GB"/>
              </w:rPr>
              <w:lastRenderedPageBreak/>
              <w:t xml:space="preserve">exceeded when the TASAF programme extends. </w:t>
            </w:r>
            <w:r w:rsidR="00E65C8A" w:rsidRPr="004F73C6">
              <w:rPr>
                <w:lang w:val="en-GB"/>
              </w:rPr>
              <w:t>There is a need to improve linkages with TASAF at national level (e.g.</w:t>
            </w:r>
            <w:r w:rsidR="00A877BC">
              <w:rPr>
                <w:lang w:val="en-GB"/>
              </w:rPr>
              <w:t xml:space="preserve"> </w:t>
            </w:r>
            <w:r w:rsidR="00E65C8A" w:rsidRPr="004F73C6">
              <w:rPr>
                <w:lang w:val="en-GB"/>
              </w:rPr>
              <w:t xml:space="preserve">with the M&amp;E </w:t>
            </w:r>
            <w:proofErr w:type="spellStart"/>
            <w:r w:rsidR="00E65C8A" w:rsidRPr="004F73C6">
              <w:rPr>
                <w:lang w:val="en-GB"/>
              </w:rPr>
              <w:t>dept</w:t>
            </w:r>
            <w:proofErr w:type="spellEnd"/>
            <w:r w:rsidR="00E65C8A" w:rsidRPr="004F73C6">
              <w:rPr>
                <w:lang w:val="en-GB"/>
              </w:rPr>
              <w:t xml:space="preserve"> on a study of the value of cash transfers to older people)</w:t>
            </w:r>
          </w:p>
          <w:p w14:paraId="41AE7467" w14:textId="7FDF97F5" w:rsidR="00520964" w:rsidRPr="004F73C6" w:rsidRDefault="00520964" w:rsidP="00EF6741">
            <w:pPr>
              <w:pStyle w:val="ListParagraph"/>
              <w:numPr>
                <w:ilvl w:val="0"/>
                <w:numId w:val="12"/>
              </w:numPr>
              <w:rPr>
                <w:lang w:val="en-GB"/>
              </w:rPr>
            </w:pPr>
            <w:r w:rsidRPr="004F73C6">
              <w:rPr>
                <w:lang w:val="en-GB"/>
              </w:rPr>
              <w:t xml:space="preserve">there is evidence of good engagement of older people in demanding social protection </w:t>
            </w:r>
            <w:r w:rsidR="00E65C8A" w:rsidRPr="004F73C6">
              <w:rPr>
                <w:lang w:val="en-GB"/>
              </w:rPr>
              <w:t xml:space="preserve">- </w:t>
            </w:r>
            <w:r w:rsidRPr="004F73C6">
              <w:rPr>
                <w:lang w:val="en-GB"/>
              </w:rPr>
              <w:t>from the community level up to the national level</w:t>
            </w:r>
          </w:p>
          <w:p w14:paraId="5CB467DC" w14:textId="75E934C0" w:rsidR="00520964" w:rsidRPr="004F73C6" w:rsidRDefault="00520964" w:rsidP="00EF6741">
            <w:pPr>
              <w:pStyle w:val="ListParagraph"/>
              <w:numPr>
                <w:ilvl w:val="0"/>
                <w:numId w:val="12"/>
              </w:numPr>
              <w:rPr>
                <w:lang w:val="en-GB"/>
              </w:rPr>
            </w:pPr>
            <w:r w:rsidRPr="004F73C6">
              <w:rPr>
                <w:lang w:val="en-GB"/>
              </w:rPr>
              <w:t xml:space="preserve">the growth in the number of OPAs and OCMGs (older citizen’s monitoring groups) is on track: OPAs/OPMGs in </w:t>
            </w:r>
            <w:r w:rsidR="00C30693" w:rsidRPr="004F73C6">
              <w:rPr>
                <w:i/>
                <w:lang w:val="en-GB"/>
              </w:rPr>
              <w:t>Tanzania</w:t>
            </w:r>
            <w:r w:rsidRPr="004F73C6">
              <w:rPr>
                <w:lang w:val="en-GB"/>
              </w:rPr>
              <w:t xml:space="preserve"> appear well organised, and show strong engagement of local leaders</w:t>
            </w:r>
          </w:p>
          <w:p w14:paraId="039A7D04" w14:textId="77777777" w:rsidR="00520964" w:rsidRPr="004F73C6" w:rsidRDefault="00520964" w:rsidP="00520964">
            <w:pPr>
              <w:rPr>
                <w:lang w:val="en-GB"/>
              </w:rPr>
            </w:pPr>
          </w:p>
          <w:p w14:paraId="58BAC1D7" w14:textId="7B2E6DA1" w:rsidR="00520964" w:rsidRPr="004F73C6" w:rsidRDefault="0046676B" w:rsidP="00520964">
            <w:pPr>
              <w:rPr>
                <w:b/>
                <w:lang w:val="en-GB"/>
              </w:rPr>
            </w:pPr>
            <w:r w:rsidRPr="004F73C6">
              <w:rPr>
                <w:b/>
                <w:lang w:val="en-GB"/>
              </w:rPr>
              <w:t>Health and HIV services (result area 2)</w:t>
            </w:r>
          </w:p>
          <w:p w14:paraId="0FAB4893" w14:textId="77777777" w:rsidR="00520964" w:rsidRPr="004F73C6" w:rsidRDefault="00520964" w:rsidP="00EF6741">
            <w:pPr>
              <w:pStyle w:val="ListParagraph"/>
              <w:numPr>
                <w:ilvl w:val="0"/>
                <w:numId w:val="12"/>
              </w:numPr>
              <w:rPr>
                <w:lang w:val="en-GB"/>
              </w:rPr>
            </w:pPr>
            <w:r w:rsidRPr="004F73C6">
              <w:rPr>
                <w:lang w:val="en-GB"/>
              </w:rPr>
              <w:t>the growth in the number of age-friendly health centres is on track; with some good practice e.g. inclusion of older persons’ drugs in the district health budget</w:t>
            </w:r>
          </w:p>
          <w:p w14:paraId="390BDF5B" w14:textId="77777777" w:rsidR="00520964" w:rsidRPr="004F73C6" w:rsidRDefault="00520964" w:rsidP="00EF6741">
            <w:pPr>
              <w:pStyle w:val="ListParagraph"/>
              <w:numPr>
                <w:ilvl w:val="0"/>
                <w:numId w:val="19"/>
              </w:numPr>
              <w:rPr>
                <w:lang w:val="en-GB"/>
              </w:rPr>
            </w:pPr>
            <w:r w:rsidRPr="004F73C6">
              <w:rPr>
                <w:lang w:val="en-GB"/>
              </w:rPr>
              <w:t xml:space="preserve">the number of clinics using disaggregated data is lagging behind </w:t>
            </w:r>
          </w:p>
          <w:p w14:paraId="1784897E" w14:textId="383AA658" w:rsidR="00520964" w:rsidRPr="004F73C6" w:rsidRDefault="00520964" w:rsidP="00EF6741">
            <w:pPr>
              <w:pStyle w:val="ListParagraph"/>
              <w:numPr>
                <w:ilvl w:val="0"/>
                <w:numId w:val="9"/>
              </w:numPr>
              <w:rPr>
                <w:lang w:val="en-GB"/>
              </w:rPr>
            </w:pPr>
            <w:proofErr w:type="gramStart"/>
            <w:r w:rsidRPr="004F73C6">
              <w:rPr>
                <w:lang w:val="en-GB"/>
              </w:rPr>
              <w:t>the</w:t>
            </w:r>
            <w:proofErr w:type="gramEnd"/>
            <w:r w:rsidRPr="004F73C6">
              <w:rPr>
                <w:lang w:val="en-GB"/>
              </w:rPr>
              <w:t xml:space="preserve"> number of OP accessing health services </w:t>
            </w:r>
            <w:r w:rsidR="00C74C5E" w:rsidRPr="004F73C6">
              <w:rPr>
                <w:lang w:val="en-GB"/>
              </w:rPr>
              <w:t xml:space="preserve">(and drawing people from adjacent districts). This has </w:t>
            </w:r>
            <w:r w:rsidRPr="004F73C6">
              <w:rPr>
                <w:lang w:val="en-GB"/>
              </w:rPr>
              <w:t xml:space="preserve">led to a workload pressure </w:t>
            </w:r>
            <w:r w:rsidR="00C74C5E" w:rsidRPr="004F73C6">
              <w:rPr>
                <w:lang w:val="en-GB"/>
              </w:rPr>
              <w:t xml:space="preserve">for </w:t>
            </w:r>
            <w:r w:rsidRPr="004F73C6">
              <w:rPr>
                <w:lang w:val="en-GB"/>
              </w:rPr>
              <w:t xml:space="preserve">clinic staff. </w:t>
            </w:r>
          </w:p>
          <w:p w14:paraId="529B5BAC" w14:textId="77777777" w:rsidR="00520964" w:rsidRPr="004F73C6" w:rsidRDefault="00520964" w:rsidP="00EF6741">
            <w:pPr>
              <w:pStyle w:val="ListParagraph"/>
              <w:numPr>
                <w:ilvl w:val="0"/>
                <w:numId w:val="12"/>
              </w:numPr>
              <w:rPr>
                <w:lang w:val="en-GB"/>
              </w:rPr>
            </w:pPr>
            <w:r w:rsidRPr="004F73C6">
              <w:rPr>
                <w:lang w:val="en-GB"/>
              </w:rPr>
              <w:t>the level of health service monitoring by OCMGs is on track</w:t>
            </w:r>
          </w:p>
          <w:p w14:paraId="2D18B877" w14:textId="77777777" w:rsidR="00520964" w:rsidRPr="004F73C6" w:rsidRDefault="00520964" w:rsidP="00EF6741">
            <w:pPr>
              <w:pStyle w:val="ListParagraph"/>
              <w:numPr>
                <w:ilvl w:val="0"/>
                <w:numId w:val="19"/>
              </w:numPr>
              <w:rPr>
                <w:lang w:val="en-GB"/>
              </w:rPr>
            </w:pPr>
            <w:r w:rsidRPr="004F73C6">
              <w:rPr>
                <w:lang w:val="en-GB"/>
              </w:rPr>
              <w:t>the number of staff using new training materials is lagging behind</w:t>
            </w:r>
          </w:p>
          <w:p w14:paraId="2869850C" w14:textId="77777777" w:rsidR="00520964" w:rsidRPr="004F73C6" w:rsidRDefault="00520964" w:rsidP="00EF6741">
            <w:pPr>
              <w:pStyle w:val="ListParagraph"/>
              <w:numPr>
                <w:ilvl w:val="0"/>
                <w:numId w:val="12"/>
              </w:numPr>
              <w:rPr>
                <w:lang w:val="en-GB"/>
              </w:rPr>
            </w:pPr>
            <w:r w:rsidRPr="004F73C6">
              <w:rPr>
                <w:lang w:val="en-GB"/>
              </w:rPr>
              <w:t xml:space="preserve">the number of OP accessing HIV and ART is on track, </w:t>
            </w:r>
            <w:r w:rsidRPr="004F73C6">
              <w:rPr>
                <w:i/>
                <w:lang w:val="en-GB"/>
              </w:rPr>
              <w:t xml:space="preserve">but </w:t>
            </w:r>
            <w:r w:rsidRPr="004F73C6">
              <w:rPr>
                <w:lang w:val="en-GB"/>
              </w:rPr>
              <w:t>there is a shortage of drugs</w:t>
            </w:r>
          </w:p>
          <w:p w14:paraId="7321F2B3" w14:textId="77777777" w:rsidR="00520964" w:rsidRPr="004F73C6" w:rsidRDefault="00520964" w:rsidP="00520964">
            <w:pPr>
              <w:rPr>
                <w:lang w:val="en-GB"/>
              </w:rPr>
            </w:pPr>
          </w:p>
          <w:p w14:paraId="1973C079" w14:textId="77777777" w:rsidR="0046676B" w:rsidRPr="004F73C6" w:rsidRDefault="0046676B" w:rsidP="0046676B">
            <w:pPr>
              <w:rPr>
                <w:b/>
                <w:lang w:val="en-GB"/>
              </w:rPr>
            </w:pPr>
            <w:r w:rsidRPr="004F73C6">
              <w:rPr>
                <w:b/>
                <w:lang w:val="en-GB"/>
              </w:rPr>
              <w:t>Public policy (result area 3)</w:t>
            </w:r>
          </w:p>
          <w:p w14:paraId="648C79A0" w14:textId="71C29F5E" w:rsidR="00520964" w:rsidRPr="004F73C6" w:rsidRDefault="00872170" w:rsidP="00EF6741">
            <w:pPr>
              <w:pStyle w:val="ListParagraph"/>
              <w:numPr>
                <w:ilvl w:val="0"/>
                <w:numId w:val="12"/>
              </w:numPr>
              <w:rPr>
                <w:lang w:val="en-GB"/>
              </w:rPr>
            </w:pPr>
            <w:r w:rsidRPr="004F73C6">
              <w:rPr>
                <w:lang w:val="en-GB"/>
              </w:rPr>
              <w:t xml:space="preserve">there is </w:t>
            </w:r>
            <w:r w:rsidR="00520964" w:rsidRPr="004F73C6">
              <w:rPr>
                <w:lang w:val="en-GB"/>
              </w:rPr>
              <w:t>evidence of a high awareness and knowledge of MPs on ageing</w:t>
            </w:r>
          </w:p>
          <w:p w14:paraId="7C22DB3E" w14:textId="77777777" w:rsidR="00520964" w:rsidRPr="004F73C6" w:rsidRDefault="00520964" w:rsidP="00EF6741">
            <w:pPr>
              <w:pStyle w:val="ListParagraph"/>
              <w:numPr>
                <w:ilvl w:val="0"/>
                <w:numId w:val="12"/>
              </w:numPr>
              <w:rPr>
                <w:lang w:val="en-GB"/>
              </w:rPr>
            </w:pPr>
            <w:r w:rsidRPr="004F73C6">
              <w:rPr>
                <w:lang w:val="en-GB"/>
              </w:rPr>
              <w:t>good number of mentions of OP in policy docs and in media, and  good level of ADA participation</w:t>
            </w:r>
          </w:p>
          <w:p w14:paraId="4E8DC3C1" w14:textId="77777777" w:rsidR="00520964" w:rsidRPr="004F73C6" w:rsidRDefault="00520964" w:rsidP="00A84F73">
            <w:pPr>
              <w:rPr>
                <w:lang w:val="en-GB"/>
              </w:rPr>
            </w:pPr>
          </w:p>
        </w:tc>
      </w:tr>
    </w:tbl>
    <w:p w14:paraId="61DAB359" w14:textId="77777777" w:rsidR="00520964" w:rsidRPr="004F73C6" w:rsidRDefault="00520964" w:rsidP="00A84F73">
      <w:pPr>
        <w:rPr>
          <w:lang w:val="en-GB"/>
        </w:rPr>
      </w:pPr>
    </w:p>
    <w:tbl>
      <w:tblPr>
        <w:tblStyle w:val="TableGrid"/>
        <w:tblW w:w="0" w:type="auto"/>
        <w:tblLook w:val="04A0" w:firstRow="1" w:lastRow="0" w:firstColumn="1" w:lastColumn="0" w:noHBand="0" w:noVBand="1"/>
      </w:tblPr>
      <w:tblGrid>
        <w:gridCol w:w="9576"/>
      </w:tblGrid>
      <w:tr w:rsidR="006627B3" w:rsidRPr="004F73C6" w14:paraId="03D9B004" w14:textId="77777777" w:rsidTr="00995386">
        <w:tc>
          <w:tcPr>
            <w:tcW w:w="9576" w:type="dxa"/>
            <w:shd w:val="clear" w:color="auto" w:fill="D9D9D9" w:themeFill="background1" w:themeFillShade="D9"/>
          </w:tcPr>
          <w:p w14:paraId="08073142" w14:textId="77777777" w:rsidR="00995386" w:rsidRPr="004F73C6" w:rsidRDefault="00995386" w:rsidP="006627B3">
            <w:pPr>
              <w:rPr>
                <w:b/>
                <w:lang w:val="en-GB"/>
              </w:rPr>
            </w:pPr>
          </w:p>
          <w:p w14:paraId="51423F67" w14:textId="1FE308CB" w:rsidR="006627B3" w:rsidRPr="004F73C6" w:rsidRDefault="00C30693" w:rsidP="006627B3">
            <w:pPr>
              <w:rPr>
                <w:b/>
                <w:lang w:val="en-GB"/>
              </w:rPr>
            </w:pPr>
            <w:r w:rsidRPr="004F73C6">
              <w:rPr>
                <w:b/>
                <w:i/>
                <w:lang w:val="en-GB"/>
              </w:rPr>
              <w:t>UGANDA</w:t>
            </w:r>
          </w:p>
          <w:p w14:paraId="6A846EF3" w14:textId="77777777" w:rsidR="0046676B" w:rsidRPr="004F73C6" w:rsidRDefault="0046676B" w:rsidP="0046676B">
            <w:pPr>
              <w:rPr>
                <w:b/>
                <w:lang w:val="en-GB"/>
              </w:rPr>
            </w:pPr>
            <w:r w:rsidRPr="004F73C6">
              <w:rPr>
                <w:b/>
                <w:lang w:val="en-GB"/>
              </w:rPr>
              <w:t>Social Protection (result area 1)</w:t>
            </w:r>
          </w:p>
          <w:p w14:paraId="7912B316" w14:textId="5113C015" w:rsidR="006627B3" w:rsidRPr="004F73C6" w:rsidRDefault="006627B3" w:rsidP="00EF6741">
            <w:pPr>
              <w:pStyle w:val="ListParagraph"/>
              <w:numPr>
                <w:ilvl w:val="0"/>
                <w:numId w:val="13"/>
              </w:numPr>
              <w:rPr>
                <w:lang w:val="en-GB"/>
              </w:rPr>
            </w:pPr>
            <w:r w:rsidRPr="004F73C6">
              <w:rPr>
                <w:lang w:val="en-GB"/>
              </w:rPr>
              <w:t xml:space="preserve">the coverage and value of the SAGE cash transfer </w:t>
            </w:r>
            <w:r w:rsidR="00023A03" w:rsidRPr="004F73C6">
              <w:rPr>
                <w:lang w:val="en-GB"/>
              </w:rPr>
              <w:t xml:space="preserve">programme </w:t>
            </w:r>
            <w:r w:rsidRPr="004F73C6">
              <w:rPr>
                <w:lang w:val="en-GB"/>
              </w:rPr>
              <w:t>has increased and is on track</w:t>
            </w:r>
          </w:p>
          <w:p w14:paraId="5D6D51EB" w14:textId="4D707BB9" w:rsidR="006627B3" w:rsidRPr="004F73C6" w:rsidRDefault="00023A03" w:rsidP="00EF6741">
            <w:pPr>
              <w:pStyle w:val="ListParagraph"/>
              <w:numPr>
                <w:ilvl w:val="0"/>
                <w:numId w:val="13"/>
              </w:numPr>
              <w:rPr>
                <w:lang w:val="en-GB"/>
              </w:rPr>
            </w:pPr>
            <w:r w:rsidRPr="004F73C6">
              <w:rPr>
                <w:lang w:val="en-GB"/>
              </w:rPr>
              <w:t xml:space="preserve">there is a </w:t>
            </w:r>
            <w:r w:rsidR="006627B3" w:rsidRPr="004F73C6">
              <w:rPr>
                <w:lang w:val="en-GB"/>
              </w:rPr>
              <w:t xml:space="preserve">good </w:t>
            </w:r>
            <w:r w:rsidRPr="004F73C6">
              <w:rPr>
                <w:lang w:val="en-GB"/>
              </w:rPr>
              <w:t xml:space="preserve">level of </w:t>
            </w:r>
            <w:r w:rsidR="006627B3" w:rsidRPr="004F73C6">
              <w:rPr>
                <w:lang w:val="en-GB"/>
              </w:rPr>
              <w:t xml:space="preserve">engagement by OCMGs </w:t>
            </w:r>
            <w:r w:rsidRPr="004F73C6">
              <w:rPr>
                <w:lang w:val="en-GB"/>
              </w:rPr>
              <w:t xml:space="preserve">with </w:t>
            </w:r>
            <w:r w:rsidR="006627B3" w:rsidRPr="004F73C6">
              <w:rPr>
                <w:lang w:val="en-GB"/>
              </w:rPr>
              <w:t xml:space="preserve">the </w:t>
            </w:r>
            <w:r w:rsidRPr="004F73C6">
              <w:rPr>
                <w:lang w:val="en-GB"/>
              </w:rPr>
              <w:t xml:space="preserve">SAGE </w:t>
            </w:r>
            <w:r w:rsidR="006627B3" w:rsidRPr="004F73C6">
              <w:rPr>
                <w:lang w:val="en-GB"/>
              </w:rPr>
              <w:t>complaints and grievance mechanism at community level</w:t>
            </w:r>
          </w:p>
          <w:p w14:paraId="45EC992F" w14:textId="1C89C5DB" w:rsidR="006627B3" w:rsidRPr="004F73C6" w:rsidRDefault="006627B3" w:rsidP="00EF6741">
            <w:pPr>
              <w:pStyle w:val="ListParagraph"/>
              <w:numPr>
                <w:ilvl w:val="0"/>
                <w:numId w:val="13"/>
              </w:numPr>
              <w:rPr>
                <w:lang w:val="en-GB"/>
              </w:rPr>
            </w:pPr>
            <w:r w:rsidRPr="004F73C6">
              <w:rPr>
                <w:lang w:val="en-GB"/>
              </w:rPr>
              <w:t>regular dialogue between HelpAge and government on social protection and health at district level</w:t>
            </w:r>
          </w:p>
          <w:p w14:paraId="20BD80BC" w14:textId="77777777" w:rsidR="006627B3" w:rsidRPr="004F73C6" w:rsidRDefault="006627B3" w:rsidP="00EF6741">
            <w:pPr>
              <w:pStyle w:val="ListParagraph"/>
              <w:numPr>
                <w:ilvl w:val="0"/>
                <w:numId w:val="11"/>
              </w:numPr>
              <w:rPr>
                <w:lang w:val="en-GB"/>
              </w:rPr>
            </w:pPr>
            <w:r w:rsidRPr="004F73C6">
              <w:rPr>
                <w:lang w:val="en-GB"/>
              </w:rPr>
              <w:t>There is a need to engage more with the SAGE secretariat and team at national level to raise awareness and profile of OCMG role</w:t>
            </w:r>
          </w:p>
          <w:p w14:paraId="21006BEA" w14:textId="77777777" w:rsidR="006627B3" w:rsidRPr="004F73C6" w:rsidRDefault="006627B3" w:rsidP="00EF6741">
            <w:pPr>
              <w:pStyle w:val="ListParagraph"/>
              <w:numPr>
                <w:ilvl w:val="0"/>
                <w:numId w:val="11"/>
              </w:numPr>
              <w:rPr>
                <w:lang w:val="en-GB"/>
              </w:rPr>
            </w:pPr>
            <w:r w:rsidRPr="004F73C6">
              <w:rPr>
                <w:lang w:val="en-GB"/>
              </w:rPr>
              <w:t>Need to modify the OCMG data collection tool in order to capture more useful information</w:t>
            </w:r>
          </w:p>
          <w:p w14:paraId="2838ABA7" w14:textId="77777777" w:rsidR="006627B3" w:rsidRPr="004F73C6" w:rsidRDefault="006627B3" w:rsidP="006627B3">
            <w:pPr>
              <w:rPr>
                <w:lang w:val="en-GB"/>
              </w:rPr>
            </w:pPr>
          </w:p>
          <w:p w14:paraId="3F30BD4A" w14:textId="77777777" w:rsidR="0046676B" w:rsidRPr="004F73C6" w:rsidRDefault="0046676B" w:rsidP="0046676B">
            <w:pPr>
              <w:rPr>
                <w:b/>
                <w:lang w:val="en-GB"/>
              </w:rPr>
            </w:pPr>
            <w:r w:rsidRPr="004F73C6">
              <w:rPr>
                <w:b/>
                <w:lang w:val="en-GB"/>
              </w:rPr>
              <w:t>Health and HIV services (result area 2)</w:t>
            </w:r>
          </w:p>
          <w:p w14:paraId="147E8B52" w14:textId="60FB32E2" w:rsidR="006627B3" w:rsidRPr="004F73C6" w:rsidRDefault="00023A03" w:rsidP="00EF6741">
            <w:pPr>
              <w:pStyle w:val="ListParagraph"/>
              <w:numPr>
                <w:ilvl w:val="0"/>
                <w:numId w:val="14"/>
              </w:numPr>
              <w:rPr>
                <w:lang w:val="en-GB"/>
              </w:rPr>
            </w:pPr>
            <w:r w:rsidRPr="004F73C6">
              <w:rPr>
                <w:lang w:val="en-GB"/>
              </w:rPr>
              <w:t xml:space="preserve">evidence of </w:t>
            </w:r>
            <w:r w:rsidR="006627B3" w:rsidRPr="004F73C6">
              <w:rPr>
                <w:lang w:val="en-GB"/>
              </w:rPr>
              <w:t xml:space="preserve">good support to </w:t>
            </w:r>
            <w:r w:rsidRPr="004F73C6">
              <w:rPr>
                <w:lang w:val="en-GB"/>
              </w:rPr>
              <w:t xml:space="preserve">the </w:t>
            </w:r>
            <w:r w:rsidR="006627B3" w:rsidRPr="004F73C6">
              <w:rPr>
                <w:lang w:val="en-GB"/>
              </w:rPr>
              <w:t xml:space="preserve">development and dissemination of </w:t>
            </w:r>
            <w:r w:rsidRPr="004F73C6">
              <w:rPr>
                <w:lang w:val="en-GB"/>
              </w:rPr>
              <w:t xml:space="preserve">a </w:t>
            </w:r>
            <w:r w:rsidR="006627B3" w:rsidRPr="004F73C6">
              <w:rPr>
                <w:lang w:val="en-GB"/>
              </w:rPr>
              <w:t xml:space="preserve">gerontology training manual </w:t>
            </w:r>
          </w:p>
          <w:p w14:paraId="55B3731F" w14:textId="1FDBDF65" w:rsidR="006627B3" w:rsidRPr="004F73C6" w:rsidRDefault="00023A03" w:rsidP="00EF6741">
            <w:pPr>
              <w:pStyle w:val="ListParagraph"/>
              <w:numPr>
                <w:ilvl w:val="0"/>
                <w:numId w:val="19"/>
              </w:numPr>
              <w:rPr>
                <w:lang w:val="en-GB"/>
              </w:rPr>
            </w:pPr>
            <w:r w:rsidRPr="004F73C6">
              <w:rPr>
                <w:lang w:val="en-GB"/>
              </w:rPr>
              <w:t xml:space="preserve">the </w:t>
            </w:r>
            <w:r w:rsidR="006627B3" w:rsidRPr="004F73C6">
              <w:rPr>
                <w:lang w:val="en-GB"/>
              </w:rPr>
              <w:t>training of health staff and use of knowledge is behind schedule (only 14 trained)</w:t>
            </w:r>
          </w:p>
          <w:p w14:paraId="60545E27" w14:textId="5115F09E" w:rsidR="006627B3" w:rsidRPr="004F73C6" w:rsidRDefault="00023A03" w:rsidP="00EF6741">
            <w:pPr>
              <w:pStyle w:val="ListParagraph"/>
              <w:numPr>
                <w:ilvl w:val="0"/>
                <w:numId w:val="15"/>
              </w:numPr>
              <w:rPr>
                <w:lang w:val="en-GB"/>
              </w:rPr>
            </w:pPr>
            <w:r w:rsidRPr="004F73C6">
              <w:rPr>
                <w:lang w:val="en-GB"/>
              </w:rPr>
              <w:t xml:space="preserve">there is </w:t>
            </w:r>
            <w:r w:rsidR="006627B3" w:rsidRPr="004F73C6">
              <w:rPr>
                <w:lang w:val="en-GB"/>
              </w:rPr>
              <w:t>some evidence of health centres improving services for OP (e.g. one day per week for geriatric)</w:t>
            </w:r>
          </w:p>
          <w:p w14:paraId="1FACDB9B" w14:textId="674AAEA8" w:rsidR="006627B3" w:rsidRPr="004F73C6" w:rsidRDefault="00023A03" w:rsidP="00EF6741">
            <w:pPr>
              <w:pStyle w:val="ListParagraph"/>
              <w:numPr>
                <w:ilvl w:val="0"/>
                <w:numId w:val="15"/>
              </w:numPr>
              <w:rPr>
                <w:lang w:val="en-GB"/>
              </w:rPr>
            </w:pPr>
            <w:r w:rsidRPr="004F73C6">
              <w:rPr>
                <w:lang w:val="en-GB"/>
              </w:rPr>
              <w:t xml:space="preserve">efforts to mobilise older people to </w:t>
            </w:r>
            <w:r w:rsidR="006627B3" w:rsidRPr="004F73C6">
              <w:rPr>
                <w:lang w:val="en-GB"/>
              </w:rPr>
              <w:t>mo</w:t>
            </w:r>
            <w:r w:rsidRPr="004F73C6">
              <w:rPr>
                <w:lang w:val="en-GB"/>
              </w:rPr>
              <w:t>nitor</w:t>
            </w:r>
            <w:r w:rsidR="006627B3" w:rsidRPr="004F73C6">
              <w:rPr>
                <w:lang w:val="en-GB"/>
              </w:rPr>
              <w:t xml:space="preserve"> ‘age-friendliness’ of health clinics is on track</w:t>
            </w:r>
          </w:p>
          <w:p w14:paraId="45719031" w14:textId="2B4A0129" w:rsidR="006627B3" w:rsidRPr="004F73C6" w:rsidRDefault="00023A03" w:rsidP="00EF6741">
            <w:pPr>
              <w:pStyle w:val="ListParagraph"/>
              <w:numPr>
                <w:ilvl w:val="0"/>
                <w:numId w:val="9"/>
              </w:numPr>
              <w:rPr>
                <w:lang w:val="en-GB"/>
              </w:rPr>
            </w:pPr>
            <w:r w:rsidRPr="004F73C6">
              <w:rPr>
                <w:lang w:val="en-GB"/>
              </w:rPr>
              <w:t>s</w:t>
            </w:r>
            <w:r w:rsidR="006627B3" w:rsidRPr="004F73C6">
              <w:rPr>
                <w:lang w:val="en-GB"/>
              </w:rPr>
              <w:t xml:space="preserve">ome clinics </w:t>
            </w:r>
            <w:r w:rsidRPr="004F73C6">
              <w:rPr>
                <w:lang w:val="en-GB"/>
              </w:rPr>
              <w:t xml:space="preserve">are </w:t>
            </w:r>
            <w:r w:rsidR="006627B3" w:rsidRPr="004F73C6">
              <w:rPr>
                <w:lang w:val="en-GB"/>
              </w:rPr>
              <w:t xml:space="preserve">disaggregating data but </w:t>
            </w:r>
            <w:r w:rsidRPr="004F73C6">
              <w:rPr>
                <w:lang w:val="en-GB"/>
              </w:rPr>
              <w:t xml:space="preserve">it is </w:t>
            </w:r>
            <w:r w:rsidR="006627B3" w:rsidRPr="004F73C6">
              <w:rPr>
                <w:lang w:val="en-GB"/>
              </w:rPr>
              <w:t>not reach</w:t>
            </w:r>
            <w:r w:rsidRPr="004F73C6">
              <w:rPr>
                <w:lang w:val="en-GB"/>
              </w:rPr>
              <w:t>ing</w:t>
            </w:r>
            <w:r w:rsidR="006627B3" w:rsidRPr="004F73C6">
              <w:rPr>
                <w:lang w:val="en-GB"/>
              </w:rPr>
              <w:t xml:space="preserve"> higher levels and is not used for decision-making</w:t>
            </w:r>
          </w:p>
          <w:p w14:paraId="30B57B32" w14:textId="77777777" w:rsidR="006627B3" w:rsidRPr="004F73C6" w:rsidRDefault="006627B3" w:rsidP="00EF6741">
            <w:pPr>
              <w:pStyle w:val="ListParagraph"/>
              <w:numPr>
                <w:ilvl w:val="0"/>
                <w:numId w:val="19"/>
              </w:numPr>
              <w:rPr>
                <w:lang w:val="en-GB"/>
              </w:rPr>
            </w:pPr>
            <w:r w:rsidRPr="004F73C6">
              <w:rPr>
                <w:lang w:val="en-GB"/>
              </w:rPr>
              <w:t>OCMGs have very little knowledge (and action) on ageing and HIV</w:t>
            </w:r>
          </w:p>
          <w:p w14:paraId="3D440D5F" w14:textId="5274B751" w:rsidR="006627B3" w:rsidRPr="004F73C6" w:rsidRDefault="00907E16" w:rsidP="00EF6741">
            <w:pPr>
              <w:pStyle w:val="ListParagraph"/>
              <w:numPr>
                <w:ilvl w:val="0"/>
                <w:numId w:val="16"/>
              </w:numPr>
              <w:rPr>
                <w:lang w:val="en-GB"/>
              </w:rPr>
            </w:pPr>
            <w:r w:rsidRPr="004F73C6">
              <w:rPr>
                <w:lang w:val="en-GB"/>
              </w:rPr>
              <w:t xml:space="preserve">there is a </w:t>
            </w:r>
            <w:r w:rsidR="006627B3" w:rsidRPr="004F73C6">
              <w:rPr>
                <w:lang w:val="en-GB"/>
              </w:rPr>
              <w:t xml:space="preserve">need to increase linkage at community level with </w:t>
            </w:r>
            <w:proofErr w:type="spellStart"/>
            <w:r w:rsidR="006627B3" w:rsidRPr="004F73C6">
              <w:rPr>
                <w:lang w:val="en-GB"/>
              </w:rPr>
              <w:t>Govt</w:t>
            </w:r>
            <w:proofErr w:type="spellEnd"/>
            <w:r w:rsidR="006627B3" w:rsidRPr="004F73C6">
              <w:rPr>
                <w:lang w:val="en-GB"/>
              </w:rPr>
              <w:t xml:space="preserve"> ‘Village Health Teams’</w:t>
            </w:r>
          </w:p>
          <w:p w14:paraId="76C1D80A" w14:textId="38280E99" w:rsidR="006627B3" w:rsidRPr="004F73C6" w:rsidRDefault="0046676B" w:rsidP="00EF6741">
            <w:pPr>
              <w:pStyle w:val="ListParagraph"/>
              <w:numPr>
                <w:ilvl w:val="0"/>
                <w:numId w:val="9"/>
              </w:numPr>
              <w:rPr>
                <w:lang w:val="en-GB"/>
              </w:rPr>
            </w:pPr>
            <w:r w:rsidRPr="004F73C6">
              <w:rPr>
                <w:lang w:val="en-GB"/>
              </w:rPr>
              <w:t xml:space="preserve">increased demand is </w:t>
            </w:r>
            <w:r w:rsidR="00907E16" w:rsidRPr="004F73C6">
              <w:rPr>
                <w:lang w:val="en-GB"/>
              </w:rPr>
              <w:t xml:space="preserve">leading to a higher </w:t>
            </w:r>
            <w:r w:rsidR="006627B3" w:rsidRPr="004F73C6">
              <w:rPr>
                <w:lang w:val="en-GB"/>
              </w:rPr>
              <w:t xml:space="preserve">workload for health </w:t>
            </w:r>
            <w:r w:rsidRPr="004F73C6">
              <w:rPr>
                <w:lang w:val="en-GB"/>
              </w:rPr>
              <w:t xml:space="preserve">staff and limited by poor </w:t>
            </w:r>
            <w:r w:rsidR="006627B3" w:rsidRPr="004F73C6">
              <w:rPr>
                <w:lang w:val="en-GB"/>
              </w:rPr>
              <w:t xml:space="preserve">access to </w:t>
            </w:r>
            <w:r w:rsidRPr="004F73C6">
              <w:rPr>
                <w:lang w:val="en-GB"/>
              </w:rPr>
              <w:t xml:space="preserve">medicines </w:t>
            </w:r>
          </w:p>
          <w:p w14:paraId="0589F25F" w14:textId="357D8222" w:rsidR="006627B3" w:rsidRPr="004F73C6" w:rsidRDefault="006627B3" w:rsidP="00EF6741">
            <w:pPr>
              <w:pStyle w:val="ListParagraph"/>
              <w:numPr>
                <w:ilvl w:val="0"/>
                <w:numId w:val="17"/>
              </w:numPr>
              <w:rPr>
                <w:lang w:val="en-GB"/>
              </w:rPr>
            </w:pPr>
            <w:r w:rsidRPr="004F73C6">
              <w:rPr>
                <w:lang w:val="en-GB"/>
              </w:rPr>
              <w:t xml:space="preserve">more effort is required </w:t>
            </w:r>
            <w:r w:rsidRPr="004F73C6">
              <w:rPr>
                <w:i/>
                <w:lang w:val="en-GB"/>
              </w:rPr>
              <w:t xml:space="preserve">at </w:t>
            </w:r>
            <w:r w:rsidR="0046676B" w:rsidRPr="004F73C6">
              <w:rPr>
                <w:i/>
                <w:lang w:val="en-GB"/>
              </w:rPr>
              <w:t xml:space="preserve">the </w:t>
            </w:r>
            <w:r w:rsidRPr="004F73C6">
              <w:rPr>
                <w:i/>
                <w:lang w:val="en-GB"/>
              </w:rPr>
              <w:t>national level</w:t>
            </w:r>
            <w:r w:rsidRPr="004F73C6">
              <w:rPr>
                <w:lang w:val="en-GB"/>
              </w:rPr>
              <w:t xml:space="preserve"> to push for the expansion of age-friendly health and HIV services</w:t>
            </w:r>
          </w:p>
          <w:p w14:paraId="1823C802" w14:textId="77777777" w:rsidR="006627B3" w:rsidRPr="004F73C6" w:rsidRDefault="006627B3" w:rsidP="006627B3">
            <w:pPr>
              <w:rPr>
                <w:lang w:val="en-GB"/>
              </w:rPr>
            </w:pPr>
          </w:p>
          <w:p w14:paraId="08AB97AF" w14:textId="77777777" w:rsidR="0046676B" w:rsidRPr="004F73C6" w:rsidRDefault="0046676B" w:rsidP="0046676B">
            <w:pPr>
              <w:rPr>
                <w:b/>
                <w:lang w:val="en-GB"/>
              </w:rPr>
            </w:pPr>
            <w:r w:rsidRPr="004F73C6">
              <w:rPr>
                <w:b/>
                <w:lang w:val="en-GB"/>
              </w:rPr>
              <w:t>Public policy (result area 3)</w:t>
            </w:r>
          </w:p>
          <w:p w14:paraId="74AA37C2" w14:textId="0D0E7CA9" w:rsidR="006627B3" w:rsidRPr="004F73C6" w:rsidRDefault="00BB13CC" w:rsidP="00EF6741">
            <w:pPr>
              <w:pStyle w:val="ListParagraph"/>
              <w:numPr>
                <w:ilvl w:val="0"/>
                <w:numId w:val="18"/>
              </w:numPr>
              <w:rPr>
                <w:lang w:val="en-GB"/>
              </w:rPr>
            </w:pPr>
            <w:r w:rsidRPr="004F73C6">
              <w:rPr>
                <w:lang w:val="en-GB"/>
              </w:rPr>
              <w:t>there is a n</w:t>
            </w:r>
            <w:r w:rsidR="006627B3" w:rsidRPr="004F73C6">
              <w:rPr>
                <w:lang w:val="en-GB"/>
              </w:rPr>
              <w:t>eed to identify more advocacy opportunities at national level e.g. on SAGE</w:t>
            </w:r>
          </w:p>
          <w:p w14:paraId="4129F4E1" w14:textId="7FD05860" w:rsidR="006627B3" w:rsidRPr="004F73C6" w:rsidRDefault="00BB13CC" w:rsidP="00EF6741">
            <w:pPr>
              <w:pStyle w:val="ListParagraph"/>
              <w:numPr>
                <w:ilvl w:val="0"/>
                <w:numId w:val="18"/>
              </w:numPr>
              <w:rPr>
                <w:lang w:val="en-GB"/>
              </w:rPr>
            </w:pPr>
            <w:r w:rsidRPr="004F73C6">
              <w:rPr>
                <w:lang w:val="en-GB"/>
              </w:rPr>
              <w:t xml:space="preserve">HelpAge needs to lobby for sufficient budget allocation in district development plans following the recent </w:t>
            </w:r>
            <w:r w:rsidR="006627B3" w:rsidRPr="004F73C6">
              <w:rPr>
                <w:lang w:val="en-GB"/>
              </w:rPr>
              <w:t xml:space="preserve">bill to establish ‘National Council for Older Persons in </w:t>
            </w:r>
            <w:r w:rsidR="00C30693" w:rsidRPr="004F73C6">
              <w:rPr>
                <w:i/>
                <w:lang w:val="en-GB"/>
              </w:rPr>
              <w:t>Uganda</w:t>
            </w:r>
            <w:r w:rsidR="006627B3" w:rsidRPr="004F73C6">
              <w:rPr>
                <w:lang w:val="en-GB"/>
              </w:rPr>
              <w:t xml:space="preserve">’ </w:t>
            </w:r>
            <w:r w:rsidRPr="004F73C6">
              <w:rPr>
                <w:lang w:val="en-GB"/>
              </w:rPr>
              <w:t>(</w:t>
            </w:r>
            <w:r w:rsidR="006627B3" w:rsidRPr="004F73C6">
              <w:rPr>
                <w:lang w:val="en-GB"/>
              </w:rPr>
              <w:t>passed in 2013</w:t>
            </w:r>
            <w:r w:rsidRPr="004F73C6">
              <w:rPr>
                <w:lang w:val="en-GB"/>
              </w:rPr>
              <w:t>)</w:t>
            </w:r>
            <w:r w:rsidR="006627B3" w:rsidRPr="004F73C6">
              <w:rPr>
                <w:lang w:val="en-GB"/>
              </w:rPr>
              <w:t xml:space="preserve">. </w:t>
            </w:r>
          </w:p>
          <w:p w14:paraId="22DC98AB" w14:textId="77777777" w:rsidR="006627B3" w:rsidRPr="004F73C6" w:rsidRDefault="006627B3" w:rsidP="00A84F73">
            <w:pPr>
              <w:rPr>
                <w:lang w:val="en-GB"/>
              </w:rPr>
            </w:pPr>
          </w:p>
        </w:tc>
      </w:tr>
    </w:tbl>
    <w:p w14:paraId="64E83F8D" w14:textId="77777777" w:rsidR="00082C85" w:rsidRPr="004F73C6" w:rsidRDefault="00082C85" w:rsidP="00A84F73">
      <w:pPr>
        <w:rPr>
          <w:lang w:val="en-GB"/>
        </w:rPr>
      </w:pPr>
    </w:p>
    <w:p w14:paraId="153236C5" w14:textId="77777777" w:rsidR="00154F51" w:rsidRPr="004F73C6" w:rsidRDefault="00154F51" w:rsidP="00A84F73">
      <w:pPr>
        <w:rPr>
          <w:lang w:val="en-GB"/>
        </w:rPr>
      </w:pPr>
    </w:p>
    <w:tbl>
      <w:tblPr>
        <w:tblStyle w:val="TableGrid"/>
        <w:tblW w:w="0" w:type="auto"/>
        <w:tblLook w:val="04A0" w:firstRow="1" w:lastRow="0" w:firstColumn="1" w:lastColumn="0" w:noHBand="0" w:noVBand="1"/>
      </w:tblPr>
      <w:tblGrid>
        <w:gridCol w:w="9576"/>
      </w:tblGrid>
      <w:tr w:rsidR="008D0B80" w:rsidRPr="004F73C6" w14:paraId="35445DE6" w14:textId="77777777" w:rsidTr="005F5348">
        <w:tc>
          <w:tcPr>
            <w:tcW w:w="9576" w:type="dxa"/>
            <w:shd w:val="clear" w:color="auto" w:fill="D9D9D9" w:themeFill="background1" w:themeFillShade="D9"/>
          </w:tcPr>
          <w:p w14:paraId="1AD3159A" w14:textId="7C168F00" w:rsidR="008D0B80" w:rsidRPr="004F73C6" w:rsidRDefault="00C30693" w:rsidP="008D0B80">
            <w:pPr>
              <w:rPr>
                <w:b/>
                <w:lang w:val="en-GB"/>
              </w:rPr>
            </w:pPr>
            <w:r w:rsidRPr="004F73C6">
              <w:rPr>
                <w:b/>
                <w:i/>
                <w:lang w:val="en-GB"/>
              </w:rPr>
              <w:lastRenderedPageBreak/>
              <w:t>SOUTH AFRICA</w:t>
            </w:r>
            <w:r w:rsidR="008D0B80" w:rsidRPr="004F73C6">
              <w:rPr>
                <w:rStyle w:val="FootnoteReference"/>
                <w:b/>
                <w:lang w:val="en-GB"/>
              </w:rPr>
              <w:footnoteReference w:id="8"/>
            </w:r>
          </w:p>
          <w:p w14:paraId="4535A68A" w14:textId="77777777" w:rsidR="008D0B80" w:rsidRPr="004F73C6" w:rsidRDefault="008D0B80" w:rsidP="008D0B80">
            <w:pPr>
              <w:rPr>
                <w:lang w:val="en-GB"/>
              </w:rPr>
            </w:pPr>
          </w:p>
          <w:p w14:paraId="584DA944" w14:textId="77777777" w:rsidR="005F5348" w:rsidRPr="004F73C6" w:rsidRDefault="005F5348" w:rsidP="005F5348">
            <w:pPr>
              <w:rPr>
                <w:b/>
                <w:lang w:val="en-GB"/>
              </w:rPr>
            </w:pPr>
            <w:r w:rsidRPr="004F73C6">
              <w:rPr>
                <w:b/>
                <w:lang w:val="en-GB"/>
              </w:rPr>
              <w:t>Health and HIV services (result area 2)</w:t>
            </w:r>
          </w:p>
          <w:p w14:paraId="3D2E8218" w14:textId="3E4543A3" w:rsidR="008D0B80" w:rsidRPr="004F73C6" w:rsidRDefault="00A352D0" w:rsidP="00EF6741">
            <w:pPr>
              <w:pStyle w:val="ListParagraph"/>
              <w:numPr>
                <w:ilvl w:val="0"/>
                <w:numId w:val="19"/>
              </w:numPr>
              <w:rPr>
                <w:lang w:val="en-GB"/>
              </w:rPr>
            </w:pPr>
            <w:proofErr w:type="gramStart"/>
            <w:r w:rsidRPr="004F73C6">
              <w:rPr>
                <w:lang w:val="en-GB"/>
              </w:rPr>
              <w:t>p</w:t>
            </w:r>
            <w:r w:rsidR="008D0B80" w:rsidRPr="004F73C6">
              <w:rPr>
                <w:lang w:val="en-GB"/>
              </w:rPr>
              <w:t>rogress</w:t>
            </w:r>
            <w:proofErr w:type="gramEnd"/>
            <w:r w:rsidR="008D0B80" w:rsidRPr="004F73C6">
              <w:rPr>
                <w:lang w:val="en-GB"/>
              </w:rPr>
              <w:t xml:space="preserve"> </w:t>
            </w:r>
            <w:r w:rsidRPr="004F73C6">
              <w:rPr>
                <w:lang w:val="en-GB"/>
              </w:rPr>
              <w:t xml:space="preserve">has been </w:t>
            </w:r>
            <w:r w:rsidR="008D0B80" w:rsidRPr="004F73C6">
              <w:rPr>
                <w:lang w:val="en-GB"/>
              </w:rPr>
              <w:t xml:space="preserve">lagging </w:t>
            </w:r>
            <w:r w:rsidRPr="004F73C6">
              <w:rPr>
                <w:lang w:val="en-GB"/>
              </w:rPr>
              <w:t xml:space="preserve">behind </w:t>
            </w:r>
            <w:r w:rsidR="008D0B80" w:rsidRPr="004F73C6">
              <w:rPr>
                <w:lang w:val="en-GB"/>
              </w:rPr>
              <w:t xml:space="preserve">due to delays in baseline surveys </w:t>
            </w:r>
            <w:r w:rsidRPr="004F73C6">
              <w:rPr>
                <w:lang w:val="en-GB"/>
              </w:rPr>
              <w:t xml:space="preserve">and partnerships following the development of a network approach, </w:t>
            </w:r>
            <w:r w:rsidR="008D0B80" w:rsidRPr="004F73C6">
              <w:rPr>
                <w:lang w:val="en-GB"/>
              </w:rPr>
              <w:t xml:space="preserve">and changes in staff. </w:t>
            </w:r>
          </w:p>
          <w:p w14:paraId="3C41B181" w14:textId="5335F077" w:rsidR="008D0B80" w:rsidRPr="004F73C6" w:rsidRDefault="00A352D0" w:rsidP="00EF6741">
            <w:pPr>
              <w:pStyle w:val="ListParagraph"/>
              <w:numPr>
                <w:ilvl w:val="0"/>
                <w:numId w:val="20"/>
              </w:numPr>
              <w:rPr>
                <w:lang w:val="en-GB"/>
              </w:rPr>
            </w:pPr>
            <w:r w:rsidRPr="004F73C6">
              <w:rPr>
                <w:lang w:val="en-GB"/>
              </w:rPr>
              <w:t xml:space="preserve">the </w:t>
            </w:r>
            <w:r w:rsidR="008D0B80" w:rsidRPr="004F73C6">
              <w:rPr>
                <w:lang w:val="en-GB"/>
              </w:rPr>
              <w:t xml:space="preserve">baseline survey on age-friendliness and on </w:t>
            </w:r>
            <w:r w:rsidR="004846F3" w:rsidRPr="004F73C6">
              <w:rPr>
                <w:lang w:val="en-GB"/>
              </w:rPr>
              <w:t xml:space="preserve">the </w:t>
            </w:r>
            <w:r w:rsidR="008D0B80" w:rsidRPr="004F73C6">
              <w:rPr>
                <w:lang w:val="en-GB"/>
              </w:rPr>
              <w:t xml:space="preserve">use of sex disaggregated data </w:t>
            </w:r>
            <w:r w:rsidR="004846F3" w:rsidRPr="004F73C6">
              <w:rPr>
                <w:lang w:val="en-GB"/>
              </w:rPr>
              <w:t xml:space="preserve">at </w:t>
            </w:r>
            <w:r w:rsidR="008D0B80" w:rsidRPr="004F73C6">
              <w:rPr>
                <w:lang w:val="en-GB"/>
              </w:rPr>
              <w:t xml:space="preserve">health facilities </w:t>
            </w:r>
            <w:r w:rsidR="004846F3" w:rsidRPr="004F73C6">
              <w:rPr>
                <w:lang w:val="en-GB"/>
              </w:rPr>
              <w:t xml:space="preserve">has </w:t>
            </w:r>
            <w:r w:rsidR="008D0B80" w:rsidRPr="004F73C6">
              <w:rPr>
                <w:lang w:val="en-GB"/>
              </w:rPr>
              <w:t>been completed</w:t>
            </w:r>
          </w:p>
          <w:p w14:paraId="3F437316" w14:textId="4A2484FA" w:rsidR="008D0B80" w:rsidRPr="004F73C6" w:rsidRDefault="004846F3" w:rsidP="00EF6741">
            <w:pPr>
              <w:pStyle w:val="ListParagraph"/>
              <w:numPr>
                <w:ilvl w:val="0"/>
                <w:numId w:val="20"/>
              </w:numPr>
              <w:rPr>
                <w:lang w:val="en-GB"/>
              </w:rPr>
            </w:pPr>
            <w:r w:rsidRPr="004F73C6">
              <w:rPr>
                <w:lang w:val="en-GB"/>
              </w:rPr>
              <w:t>a</w:t>
            </w:r>
            <w:r w:rsidR="008D0B80" w:rsidRPr="004F73C6">
              <w:rPr>
                <w:lang w:val="en-GB"/>
              </w:rPr>
              <w:t xml:space="preserve"> protocol for collecting disaggregated HIV data has been established for Nkangala District </w:t>
            </w:r>
            <w:r w:rsidRPr="004F73C6">
              <w:rPr>
                <w:lang w:val="en-GB"/>
              </w:rPr>
              <w:t xml:space="preserve">Health </w:t>
            </w:r>
            <w:r w:rsidR="008D0B80" w:rsidRPr="004F73C6">
              <w:rPr>
                <w:lang w:val="en-GB"/>
              </w:rPr>
              <w:t>System</w:t>
            </w:r>
          </w:p>
          <w:p w14:paraId="19A2E8F0" w14:textId="5756F1CD" w:rsidR="008D0B80" w:rsidRPr="004F73C6" w:rsidRDefault="004846F3" w:rsidP="00EF6741">
            <w:pPr>
              <w:pStyle w:val="ListParagraph"/>
              <w:numPr>
                <w:ilvl w:val="0"/>
                <w:numId w:val="20"/>
              </w:numPr>
              <w:rPr>
                <w:lang w:val="en-GB"/>
              </w:rPr>
            </w:pPr>
            <w:r w:rsidRPr="004F73C6">
              <w:rPr>
                <w:lang w:val="en-GB"/>
              </w:rPr>
              <w:t>t</w:t>
            </w:r>
            <w:r w:rsidR="008D0B80" w:rsidRPr="004F73C6">
              <w:rPr>
                <w:lang w:val="en-GB"/>
              </w:rPr>
              <w:t xml:space="preserve">here is some evidence of increased awareness of issues </w:t>
            </w:r>
            <w:r w:rsidRPr="004F73C6">
              <w:rPr>
                <w:lang w:val="en-GB"/>
              </w:rPr>
              <w:t xml:space="preserve">affecting older people </w:t>
            </w:r>
            <w:r w:rsidR="008D0B80" w:rsidRPr="004F73C6">
              <w:rPr>
                <w:lang w:val="en-GB"/>
              </w:rPr>
              <w:t xml:space="preserve">among district health staff </w:t>
            </w:r>
            <w:r w:rsidRPr="004F73C6">
              <w:rPr>
                <w:lang w:val="en-GB"/>
              </w:rPr>
              <w:t>as a result of participation in the baseline survey</w:t>
            </w:r>
          </w:p>
          <w:p w14:paraId="61445AD7" w14:textId="138A8039" w:rsidR="004846F3" w:rsidRPr="004F73C6" w:rsidRDefault="004846F3" w:rsidP="00EF6741">
            <w:pPr>
              <w:pStyle w:val="ListParagraph"/>
              <w:numPr>
                <w:ilvl w:val="0"/>
                <w:numId w:val="24"/>
              </w:numPr>
              <w:rPr>
                <w:lang w:val="en-GB"/>
              </w:rPr>
            </w:pPr>
            <w:proofErr w:type="gramStart"/>
            <w:r w:rsidRPr="004F73C6">
              <w:rPr>
                <w:lang w:val="en-GB"/>
              </w:rPr>
              <w:t>at</w:t>
            </w:r>
            <w:proofErr w:type="gramEnd"/>
            <w:r w:rsidRPr="004F73C6">
              <w:rPr>
                <w:lang w:val="en-GB"/>
              </w:rPr>
              <w:t xml:space="preserve"> the time of the review, the programme had yet to develop a clear strategy for </w:t>
            </w:r>
            <w:r w:rsidR="008D0B80" w:rsidRPr="004F73C6">
              <w:rPr>
                <w:lang w:val="en-GB"/>
              </w:rPr>
              <w:t>deliver</w:t>
            </w:r>
            <w:r w:rsidRPr="004F73C6">
              <w:rPr>
                <w:lang w:val="en-GB"/>
              </w:rPr>
              <w:t xml:space="preserve">ing training on </w:t>
            </w:r>
            <w:r w:rsidR="008D0B80" w:rsidRPr="004F73C6">
              <w:rPr>
                <w:lang w:val="en-GB"/>
              </w:rPr>
              <w:t xml:space="preserve">age-friendliness </w:t>
            </w:r>
            <w:r w:rsidRPr="004F73C6">
              <w:rPr>
                <w:lang w:val="en-GB"/>
              </w:rPr>
              <w:t xml:space="preserve">for health staff of </w:t>
            </w:r>
            <w:r w:rsidR="008D0B80" w:rsidRPr="004F73C6">
              <w:rPr>
                <w:lang w:val="en-GB"/>
              </w:rPr>
              <w:t xml:space="preserve">on OPA </w:t>
            </w:r>
            <w:r w:rsidRPr="004F73C6">
              <w:rPr>
                <w:lang w:val="en-GB"/>
              </w:rPr>
              <w:t>mobilization to monitor facilities</w:t>
            </w:r>
            <w:r w:rsidR="008D0B80" w:rsidRPr="004F73C6">
              <w:rPr>
                <w:lang w:val="en-GB"/>
              </w:rPr>
              <w:t xml:space="preserve">. </w:t>
            </w:r>
          </w:p>
          <w:p w14:paraId="35373ECC" w14:textId="30BF6870" w:rsidR="008D0B80" w:rsidRPr="004F73C6" w:rsidRDefault="004846F3" w:rsidP="00EF6741">
            <w:pPr>
              <w:pStyle w:val="ListParagraph"/>
              <w:numPr>
                <w:ilvl w:val="0"/>
                <w:numId w:val="23"/>
              </w:numPr>
              <w:rPr>
                <w:lang w:val="en-GB"/>
              </w:rPr>
            </w:pPr>
            <w:proofErr w:type="gramStart"/>
            <w:r w:rsidRPr="004F73C6">
              <w:rPr>
                <w:lang w:val="en-GB"/>
              </w:rPr>
              <w:t>g</w:t>
            </w:r>
            <w:r w:rsidR="008D0B80" w:rsidRPr="004F73C6">
              <w:rPr>
                <w:lang w:val="en-GB"/>
              </w:rPr>
              <w:t>ood</w:t>
            </w:r>
            <w:proofErr w:type="gramEnd"/>
            <w:r w:rsidR="008D0B80" w:rsidRPr="004F73C6">
              <w:rPr>
                <w:lang w:val="en-GB"/>
              </w:rPr>
              <w:t xml:space="preserve"> relationships have been established at district level with the Mpumalanga Health Dept. This provides opportunities to establish regular meetings with civil society.</w:t>
            </w:r>
          </w:p>
          <w:p w14:paraId="2370F938" w14:textId="0C771779" w:rsidR="008D0B80" w:rsidRPr="004F73C6" w:rsidRDefault="004846F3" w:rsidP="00EF6741">
            <w:pPr>
              <w:pStyle w:val="ListParagraph"/>
              <w:numPr>
                <w:ilvl w:val="0"/>
                <w:numId w:val="23"/>
              </w:numPr>
              <w:rPr>
                <w:lang w:val="en-GB"/>
              </w:rPr>
            </w:pPr>
            <w:r w:rsidRPr="004F73C6">
              <w:rPr>
                <w:lang w:val="en-GB"/>
              </w:rPr>
              <w:t>There is a n</w:t>
            </w:r>
            <w:r w:rsidR="008D0B80" w:rsidRPr="004F73C6">
              <w:rPr>
                <w:lang w:val="en-GB"/>
              </w:rPr>
              <w:t xml:space="preserve">eed to </w:t>
            </w:r>
            <w:r w:rsidRPr="004F73C6">
              <w:rPr>
                <w:lang w:val="en-GB"/>
              </w:rPr>
              <w:t xml:space="preserve">further develop </w:t>
            </w:r>
            <w:r w:rsidR="008D0B80" w:rsidRPr="004F73C6">
              <w:rPr>
                <w:lang w:val="en-GB"/>
              </w:rPr>
              <w:t>link</w:t>
            </w:r>
            <w:r w:rsidRPr="004F73C6">
              <w:rPr>
                <w:lang w:val="en-GB"/>
              </w:rPr>
              <w:t>s</w:t>
            </w:r>
            <w:r w:rsidR="008D0B80" w:rsidRPr="004F73C6">
              <w:rPr>
                <w:lang w:val="en-GB"/>
              </w:rPr>
              <w:t xml:space="preserve"> at national/ministerial level: e.g. there are opportunities to work with the department of Chronic Diseases and Geriatrics on disaggregation of data by age.</w:t>
            </w:r>
          </w:p>
          <w:p w14:paraId="40159C68" w14:textId="77777777" w:rsidR="008D0B80" w:rsidRPr="004F73C6" w:rsidRDefault="008D0B80" w:rsidP="008D0B80">
            <w:pPr>
              <w:rPr>
                <w:lang w:val="en-GB"/>
              </w:rPr>
            </w:pPr>
          </w:p>
          <w:p w14:paraId="23A34C2A" w14:textId="77777777" w:rsidR="005F5348" w:rsidRPr="004F73C6" w:rsidRDefault="005F5348" w:rsidP="005F5348">
            <w:pPr>
              <w:rPr>
                <w:b/>
                <w:lang w:val="en-GB"/>
              </w:rPr>
            </w:pPr>
            <w:r w:rsidRPr="004F73C6">
              <w:rPr>
                <w:b/>
                <w:lang w:val="en-GB"/>
              </w:rPr>
              <w:t>Public policy (result area 3)</w:t>
            </w:r>
          </w:p>
          <w:p w14:paraId="539B3104" w14:textId="5C794EAE" w:rsidR="008D0B80" w:rsidRPr="004F73C6" w:rsidRDefault="007978E5" w:rsidP="00EF6741">
            <w:pPr>
              <w:pStyle w:val="ListParagraph"/>
              <w:numPr>
                <w:ilvl w:val="0"/>
                <w:numId w:val="7"/>
              </w:numPr>
              <w:rPr>
                <w:lang w:val="en-GB"/>
              </w:rPr>
            </w:pPr>
            <w:r w:rsidRPr="004F73C6">
              <w:rPr>
                <w:lang w:val="en-GB"/>
              </w:rPr>
              <w:t xml:space="preserve">efforts to date have been focused on </w:t>
            </w:r>
            <w:r w:rsidR="008D0B80" w:rsidRPr="004F73C6">
              <w:rPr>
                <w:lang w:val="en-GB"/>
              </w:rPr>
              <w:t>develop</w:t>
            </w:r>
            <w:r w:rsidRPr="004F73C6">
              <w:rPr>
                <w:lang w:val="en-GB"/>
              </w:rPr>
              <w:t>ing</w:t>
            </w:r>
            <w:r w:rsidR="008D0B80" w:rsidRPr="004F73C6">
              <w:rPr>
                <w:lang w:val="en-GB"/>
              </w:rPr>
              <w:t xml:space="preserve"> national and regional networks, </w:t>
            </w:r>
            <w:r w:rsidRPr="004F73C6">
              <w:rPr>
                <w:lang w:val="en-GB"/>
              </w:rPr>
              <w:t xml:space="preserve">few outputs to date </w:t>
            </w:r>
          </w:p>
          <w:p w14:paraId="03B435E2" w14:textId="2F7FA10C" w:rsidR="008D0B80" w:rsidRPr="004F73C6" w:rsidRDefault="008D0B80" w:rsidP="00EF6741">
            <w:pPr>
              <w:pStyle w:val="ListParagraph"/>
              <w:numPr>
                <w:ilvl w:val="0"/>
                <w:numId w:val="22"/>
              </w:numPr>
              <w:rPr>
                <w:lang w:val="en-GB"/>
              </w:rPr>
            </w:pPr>
            <w:r w:rsidRPr="004F73C6">
              <w:rPr>
                <w:lang w:val="en-GB"/>
              </w:rPr>
              <w:t xml:space="preserve">the national level model to develop a multi-stakeholder coalition (SAAN) of </w:t>
            </w:r>
            <w:proofErr w:type="spellStart"/>
            <w:r w:rsidRPr="004F73C6">
              <w:rPr>
                <w:lang w:val="en-GB"/>
              </w:rPr>
              <w:t>govt</w:t>
            </w:r>
            <w:proofErr w:type="spellEnd"/>
            <w:r w:rsidRPr="004F73C6">
              <w:rPr>
                <w:lang w:val="en-GB"/>
              </w:rPr>
              <w:t xml:space="preserve">, CSOs, media </w:t>
            </w:r>
            <w:proofErr w:type="spellStart"/>
            <w:r w:rsidRPr="004F73C6">
              <w:rPr>
                <w:lang w:val="en-GB"/>
              </w:rPr>
              <w:t>etc</w:t>
            </w:r>
            <w:proofErr w:type="spellEnd"/>
            <w:r w:rsidRPr="004F73C6">
              <w:rPr>
                <w:lang w:val="en-GB"/>
              </w:rPr>
              <w:t xml:space="preserve"> to work on ageing issues is innovative – potentially offering greater reach</w:t>
            </w:r>
            <w:r w:rsidR="00AE3F64" w:rsidRPr="004F73C6">
              <w:rPr>
                <w:lang w:val="en-GB"/>
              </w:rPr>
              <w:t>, sustainability</w:t>
            </w:r>
            <w:r w:rsidRPr="004F73C6">
              <w:rPr>
                <w:lang w:val="en-GB"/>
              </w:rPr>
              <w:t xml:space="preserve"> and access to a range of partners</w:t>
            </w:r>
            <w:r w:rsidR="00AE3F64" w:rsidRPr="004F73C6">
              <w:rPr>
                <w:lang w:val="en-GB"/>
              </w:rPr>
              <w:t>, but could potentially slow progress during initial stages.</w:t>
            </w:r>
          </w:p>
          <w:p w14:paraId="608BE7F5" w14:textId="58106B7E" w:rsidR="008D0B80" w:rsidRPr="004F73C6" w:rsidRDefault="00AE3F64" w:rsidP="00EF6741">
            <w:pPr>
              <w:pStyle w:val="ListParagraph"/>
              <w:numPr>
                <w:ilvl w:val="0"/>
                <w:numId w:val="21"/>
              </w:numPr>
              <w:rPr>
                <w:lang w:val="en-GB"/>
              </w:rPr>
            </w:pPr>
            <w:r w:rsidRPr="004F73C6">
              <w:rPr>
                <w:lang w:val="en-GB"/>
              </w:rPr>
              <w:t xml:space="preserve">the </w:t>
            </w:r>
            <w:r w:rsidR="008D0B80" w:rsidRPr="004F73C6">
              <w:rPr>
                <w:lang w:val="en-GB"/>
              </w:rPr>
              <w:t xml:space="preserve">Mpumalanga Health </w:t>
            </w:r>
            <w:proofErr w:type="spellStart"/>
            <w:r w:rsidR="008D0B80" w:rsidRPr="004F73C6">
              <w:rPr>
                <w:lang w:val="en-GB"/>
              </w:rPr>
              <w:t>Dept</w:t>
            </w:r>
            <w:proofErr w:type="spellEnd"/>
            <w:r w:rsidR="008D0B80" w:rsidRPr="004F73C6">
              <w:rPr>
                <w:lang w:val="en-GB"/>
              </w:rPr>
              <w:t xml:space="preserve"> has acknowledged </w:t>
            </w:r>
            <w:r w:rsidRPr="004F73C6">
              <w:rPr>
                <w:lang w:val="en-GB"/>
              </w:rPr>
              <w:t xml:space="preserve">the </w:t>
            </w:r>
            <w:r w:rsidR="008D0B80" w:rsidRPr="004F73C6">
              <w:rPr>
                <w:lang w:val="en-GB"/>
              </w:rPr>
              <w:t>marginalisation of OP in PHCs</w:t>
            </w:r>
          </w:p>
          <w:p w14:paraId="724E88E1" w14:textId="349A6AC8" w:rsidR="008D0B80" w:rsidRPr="004F73C6" w:rsidRDefault="00AE3F64" w:rsidP="00EF6741">
            <w:pPr>
              <w:pStyle w:val="ListParagraph"/>
              <w:numPr>
                <w:ilvl w:val="0"/>
                <w:numId w:val="7"/>
              </w:numPr>
              <w:rPr>
                <w:lang w:val="en-GB"/>
              </w:rPr>
            </w:pPr>
            <w:r w:rsidRPr="004F73C6">
              <w:rPr>
                <w:lang w:val="en-GB"/>
              </w:rPr>
              <w:t>The studies</w:t>
            </w:r>
            <w:r w:rsidR="008D0B80" w:rsidRPr="004F73C6">
              <w:rPr>
                <w:lang w:val="en-GB"/>
              </w:rPr>
              <w:t xml:space="preserve"> on </w:t>
            </w:r>
            <w:r w:rsidRPr="004F73C6">
              <w:rPr>
                <w:lang w:val="en-GB"/>
              </w:rPr>
              <w:t xml:space="preserve">international/regional </w:t>
            </w:r>
            <w:r w:rsidR="008D0B80" w:rsidRPr="004F73C6">
              <w:rPr>
                <w:lang w:val="en-GB"/>
              </w:rPr>
              <w:t>protocols in region</w:t>
            </w:r>
            <w:r w:rsidRPr="004F73C6">
              <w:rPr>
                <w:lang w:val="en-GB"/>
              </w:rPr>
              <w:t xml:space="preserve">, and </w:t>
            </w:r>
            <w:r w:rsidR="008D0B80" w:rsidRPr="004F73C6">
              <w:rPr>
                <w:lang w:val="en-GB"/>
              </w:rPr>
              <w:t xml:space="preserve">on accountability and HIV </w:t>
            </w:r>
            <w:r w:rsidRPr="004F73C6">
              <w:rPr>
                <w:lang w:val="en-GB"/>
              </w:rPr>
              <w:t xml:space="preserve">are potentially useful documents, but there is </w:t>
            </w:r>
            <w:r w:rsidR="008D0B80" w:rsidRPr="004F73C6">
              <w:rPr>
                <w:lang w:val="en-GB"/>
              </w:rPr>
              <w:t>limited evidence of follow-up / use to date</w:t>
            </w:r>
            <w:r w:rsidRPr="004F73C6">
              <w:rPr>
                <w:lang w:val="en-GB"/>
              </w:rPr>
              <w:t>.</w:t>
            </w:r>
          </w:p>
          <w:p w14:paraId="20B0AF5E" w14:textId="77777777" w:rsidR="008D0B80" w:rsidRPr="004F73C6" w:rsidRDefault="008D0B80" w:rsidP="00A84F73">
            <w:pPr>
              <w:rPr>
                <w:lang w:val="en-GB"/>
              </w:rPr>
            </w:pPr>
          </w:p>
        </w:tc>
      </w:tr>
    </w:tbl>
    <w:p w14:paraId="6638088D" w14:textId="77777777" w:rsidR="00004C69" w:rsidRPr="004F73C6" w:rsidRDefault="00004C69" w:rsidP="00A84F73">
      <w:pPr>
        <w:rPr>
          <w:lang w:val="en-GB"/>
        </w:rPr>
      </w:pPr>
    </w:p>
    <w:tbl>
      <w:tblPr>
        <w:tblStyle w:val="TableGrid"/>
        <w:tblW w:w="0" w:type="auto"/>
        <w:tblLook w:val="04A0" w:firstRow="1" w:lastRow="0" w:firstColumn="1" w:lastColumn="0" w:noHBand="0" w:noVBand="1"/>
      </w:tblPr>
      <w:tblGrid>
        <w:gridCol w:w="9576"/>
      </w:tblGrid>
      <w:tr w:rsidR="00FE7D30" w:rsidRPr="004F73C6" w14:paraId="7D80C0F4" w14:textId="77777777" w:rsidTr="00B96FF3">
        <w:tc>
          <w:tcPr>
            <w:tcW w:w="9576" w:type="dxa"/>
            <w:shd w:val="clear" w:color="auto" w:fill="D9D9D9" w:themeFill="background1" w:themeFillShade="D9"/>
          </w:tcPr>
          <w:p w14:paraId="469DC70F" w14:textId="17F0949E" w:rsidR="00FE7D30" w:rsidRPr="004F73C6" w:rsidRDefault="00C30693" w:rsidP="00FE7D30">
            <w:pPr>
              <w:rPr>
                <w:b/>
                <w:lang w:val="en-GB"/>
              </w:rPr>
            </w:pPr>
            <w:r w:rsidRPr="004F73C6">
              <w:rPr>
                <w:b/>
                <w:i/>
                <w:lang w:val="en-GB"/>
              </w:rPr>
              <w:t>IRELAND</w:t>
            </w:r>
            <w:r w:rsidR="00FE7D30" w:rsidRPr="004F73C6">
              <w:rPr>
                <w:b/>
                <w:lang w:val="en-GB"/>
              </w:rPr>
              <w:t xml:space="preserve"> (Ageing and Development Awareness)</w:t>
            </w:r>
          </w:p>
          <w:p w14:paraId="79B351ED" w14:textId="77777777" w:rsidR="00856E2F" w:rsidRPr="004F73C6" w:rsidRDefault="00856E2F" w:rsidP="00856E2F">
            <w:pPr>
              <w:rPr>
                <w:b/>
                <w:lang w:val="en-GB"/>
              </w:rPr>
            </w:pPr>
          </w:p>
          <w:p w14:paraId="1DA42E89" w14:textId="331273F2" w:rsidR="00323068" w:rsidRPr="004F73C6" w:rsidRDefault="00323068" w:rsidP="00856E2F">
            <w:pPr>
              <w:rPr>
                <w:b/>
                <w:lang w:val="en-GB"/>
              </w:rPr>
            </w:pPr>
            <w:r w:rsidRPr="004F73C6">
              <w:rPr>
                <w:b/>
                <w:lang w:val="en-GB"/>
              </w:rPr>
              <w:t xml:space="preserve">Outcome 1: Age Action </w:t>
            </w:r>
            <w:r w:rsidR="00C30693" w:rsidRPr="004F73C6">
              <w:rPr>
                <w:b/>
                <w:i/>
                <w:lang w:val="en-GB"/>
              </w:rPr>
              <w:t>Ireland</w:t>
            </w:r>
            <w:r w:rsidRPr="004F73C6">
              <w:rPr>
                <w:b/>
                <w:lang w:val="en-GB"/>
              </w:rPr>
              <w:t xml:space="preserve"> staff, members and supporters have increased awareness of ageing and development issues</w:t>
            </w:r>
          </w:p>
          <w:p w14:paraId="212BB999" w14:textId="484E78D7" w:rsidR="00FE7D30" w:rsidRPr="004F73C6" w:rsidRDefault="003D6928" w:rsidP="001310EA">
            <w:pPr>
              <w:pStyle w:val="ListParagraph"/>
              <w:numPr>
                <w:ilvl w:val="0"/>
                <w:numId w:val="22"/>
              </w:numPr>
              <w:rPr>
                <w:lang w:val="en-GB"/>
              </w:rPr>
            </w:pPr>
            <w:r w:rsidRPr="004F73C6">
              <w:rPr>
                <w:lang w:val="en-GB"/>
              </w:rPr>
              <w:t xml:space="preserve">collaborations with other Age Action </w:t>
            </w:r>
            <w:r w:rsidR="00C30693" w:rsidRPr="004F73C6">
              <w:rPr>
                <w:i/>
                <w:lang w:val="en-GB"/>
              </w:rPr>
              <w:t>Ireland</w:t>
            </w:r>
            <w:r w:rsidRPr="004F73C6">
              <w:rPr>
                <w:lang w:val="en-GB"/>
              </w:rPr>
              <w:t xml:space="preserve"> teams are showing some results</w:t>
            </w:r>
          </w:p>
          <w:p w14:paraId="56FC31B4" w14:textId="69C2DE22" w:rsidR="003D6928" w:rsidRPr="004F73C6" w:rsidRDefault="003D6928" w:rsidP="001310EA">
            <w:pPr>
              <w:pStyle w:val="ListParagraph"/>
              <w:numPr>
                <w:ilvl w:val="0"/>
                <w:numId w:val="23"/>
              </w:numPr>
              <w:rPr>
                <w:lang w:val="en-GB"/>
              </w:rPr>
            </w:pPr>
            <w:r w:rsidRPr="004F73C6">
              <w:rPr>
                <w:lang w:val="en-GB"/>
              </w:rPr>
              <w:t xml:space="preserve">more could be done to raise the profile of ageing and development work across Age Action </w:t>
            </w:r>
            <w:r w:rsidR="00C30693" w:rsidRPr="004F73C6">
              <w:rPr>
                <w:i/>
                <w:lang w:val="en-GB"/>
              </w:rPr>
              <w:t>Ireland</w:t>
            </w:r>
            <w:r w:rsidRPr="004F73C6">
              <w:rPr>
                <w:lang w:val="en-GB"/>
              </w:rPr>
              <w:t xml:space="preserve"> through internal communications and input into organisational strategy</w:t>
            </w:r>
          </w:p>
          <w:p w14:paraId="2C59E208" w14:textId="310DA59F" w:rsidR="005C6EF0" w:rsidRPr="004F73C6" w:rsidRDefault="0058080E" w:rsidP="003B35B5">
            <w:pPr>
              <w:pStyle w:val="ListParagraph"/>
              <w:numPr>
                <w:ilvl w:val="0"/>
                <w:numId w:val="7"/>
              </w:numPr>
              <w:rPr>
                <w:lang w:val="en-GB"/>
              </w:rPr>
            </w:pPr>
            <w:r w:rsidRPr="004F73C6">
              <w:rPr>
                <w:lang w:val="en-GB"/>
              </w:rPr>
              <w:t xml:space="preserve">workshops with AAI supporters </w:t>
            </w:r>
            <w:r w:rsidR="00D452A6" w:rsidRPr="004F73C6">
              <w:rPr>
                <w:lang w:val="en-GB"/>
              </w:rPr>
              <w:t xml:space="preserve">to raise awareness </w:t>
            </w:r>
            <w:r w:rsidRPr="004F73C6">
              <w:rPr>
                <w:lang w:val="en-GB"/>
              </w:rPr>
              <w:t xml:space="preserve">have been effective </w:t>
            </w:r>
            <w:r w:rsidR="00D452A6" w:rsidRPr="004F73C6">
              <w:rPr>
                <w:lang w:val="en-GB"/>
              </w:rPr>
              <w:t>but numbers are small</w:t>
            </w:r>
            <w:r w:rsidRPr="004F73C6">
              <w:rPr>
                <w:lang w:val="en-GB"/>
              </w:rPr>
              <w:t xml:space="preserve"> </w:t>
            </w:r>
          </w:p>
          <w:p w14:paraId="68E337F5" w14:textId="3552A912" w:rsidR="006078A5" w:rsidRPr="004F73C6" w:rsidRDefault="0058080E" w:rsidP="003B35B5">
            <w:pPr>
              <w:pStyle w:val="ListParagraph"/>
              <w:numPr>
                <w:ilvl w:val="0"/>
                <w:numId w:val="23"/>
              </w:numPr>
              <w:rPr>
                <w:lang w:val="en-GB"/>
              </w:rPr>
            </w:pPr>
            <w:proofErr w:type="gramStart"/>
            <w:r w:rsidRPr="004F73C6">
              <w:rPr>
                <w:lang w:val="en-GB"/>
              </w:rPr>
              <w:t>the</w:t>
            </w:r>
            <w:proofErr w:type="gramEnd"/>
            <w:r w:rsidRPr="004F73C6">
              <w:rPr>
                <w:lang w:val="en-GB"/>
              </w:rPr>
              <w:t xml:space="preserve"> number of people reached by workshops has been small</w:t>
            </w:r>
            <w:r w:rsidR="00D452A6" w:rsidRPr="004F73C6">
              <w:rPr>
                <w:lang w:val="en-GB"/>
              </w:rPr>
              <w:t>;</w:t>
            </w:r>
            <w:r w:rsidR="003301CD" w:rsidRPr="004F73C6">
              <w:rPr>
                <w:lang w:val="en-GB"/>
              </w:rPr>
              <w:t xml:space="preserve"> </w:t>
            </w:r>
            <w:r w:rsidR="006078A5" w:rsidRPr="004F73C6">
              <w:rPr>
                <w:lang w:val="en-GB"/>
              </w:rPr>
              <w:t>it may be more efficient to explore use of social media, or traditional print media and radio to reach a wider audience with key messages.</w:t>
            </w:r>
          </w:p>
          <w:p w14:paraId="72685DCC" w14:textId="77777777" w:rsidR="003301CD" w:rsidRPr="004F73C6" w:rsidRDefault="003301CD" w:rsidP="00323068">
            <w:pPr>
              <w:rPr>
                <w:rFonts w:ascii="Arial" w:hAnsi="Arial" w:cs="Arial"/>
                <w:sz w:val="22"/>
                <w:lang w:val="en-GB"/>
              </w:rPr>
            </w:pPr>
          </w:p>
          <w:p w14:paraId="094184A8" w14:textId="77777777" w:rsidR="003301CD" w:rsidRPr="004F73C6" w:rsidRDefault="003301CD" w:rsidP="001310EA">
            <w:pPr>
              <w:rPr>
                <w:b/>
                <w:lang w:val="en-GB"/>
              </w:rPr>
            </w:pPr>
            <w:r w:rsidRPr="004F73C6">
              <w:rPr>
                <w:b/>
                <w:lang w:val="en-GB"/>
              </w:rPr>
              <w:t>Outcome 2: Irish NGOs have increased awareness of older people and their rights in development</w:t>
            </w:r>
          </w:p>
          <w:p w14:paraId="3C685658" w14:textId="7ED23605" w:rsidR="00A7276A" w:rsidRPr="004F73C6" w:rsidRDefault="00F71ED6" w:rsidP="002B5E50">
            <w:pPr>
              <w:pStyle w:val="ListParagraph"/>
              <w:numPr>
                <w:ilvl w:val="0"/>
                <w:numId w:val="22"/>
              </w:numPr>
              <w:rPr>
                <w:lang w:val="en-GB"/>
              </w:rPr>
            </w:pPr>
            <w:r w:rsidRPr="004F73C6">
              <w:rPr>
                <w:lang w:val="en-GB"/>
              </w:rPr>
              <w:t xml:space="preserve">There is a good potential to influence Irish INGOs on their programming in the long term, given opportunities provided by debates on inclusion, and the demand for technical support </w:t>
            </w:r>
          </w:p>
          <w:p w14:paraId="0BE27224" w14:textId="267689F0" w:rsidR="003301CD" w:rsidRPr="004F73C6" w:rsidRDefault="00A7276A" w:rsidP="002B5E50">
            <w:pPr>
              <w:pStyle w:val="ListParagraph"/>
              <w:numPr>
                <w:ilvl w:val="0"/>
                <w:numId w:val="22"/>
              </w:numPr>
              <w:rPr>
                <w:lang w:val="en-GB"/>
              </w:rPr>
            </w:pPr>
            <w:r w:rsidRPr="004F73C6">
              <w:rPr>
                <w:lang w:val="en-GB"/>
              </w:rPr>
              <w:t xml:space="preserve">Strong </w:t>
            </w:r>
            <w:r w:rsidR="00F71ED6" w:rsidRPr="004F73C6">
              <w:rPr>
                <w:lang w:val="en-GB"/>
              </w:rPr>
              <w:t xml:space="preserve">relationships </w:t>
            </w:r>
            <w:r w:rsidRPr="004F73C6">
              <w:rPr>
                <w:lang w:val="en-GB"/>
              </w:rPr>
              <w:t xml:space="preserve">have been built with </w:t>
            </w:r>
            <w:proofErr w:type="spellStart"/>
            <w:r w:rsidR="00F71ED6" w:rsidRPr="004F73C6">
              <w:rPr>
                <w:lang w:val="en-GB"/>
              </w:rPr>
              <w:t>Dóchas</w:t>
            </w:r>
            <w:proofErr w:type="spellEnd"/>
            <w:r w:rsidR="00F71ED6" w:rsidRPr="004F73C6">
              <w:rPr>
                <w:lang w:val="en-GB"/>
              </w:rPr>
              <w:t xml:space="preserve"> and CBM </w:t>
            </w:r>
            <w:r w:rsidR="00C30693" w:rsidRPr="004F73C6">
              <w:rPr>
                <w:i/>
                <w:lang w:val="en-GB"/>
              </w:rPr>
              <w:t>Ireland</w:t>
            </w:r>
            <w:r w:rsidR="00F71ED6" w:rsidRPr="004F73C6">
              <w:rPr>
                <w:lang w:val="en-GB"/>
              </w:rPr>
              <w:t xml:space="preserve"> </w:t>
            </w:r>
            <w:r w:rsidR="005C6EF0" w:rsidRPr="004F73C6">
              <w:rPr>
                <w:lang w:val="en-GB"/>
              </w:rPr>
              <w:t>providing</w:t>
            </w:r>
            <w:r w:rsidR="00F71ED6" w:rsidRPr="004F73C6">
              <w:rPr>
                <w:lang w:val="en-GB"/>
              </w:rPr>
              <w:t xml:space="preserve"> a good foundation </w:t>
            </w:r>
          </w:p>
          <w:p w14:paraId="60640C11" w14:textId="6A6D513B" w:rsidR="00A7276A" w:rsidRPr="004F73C6" w:rsidRDefault="00A7276A" w:rsidP="0097054D">
            <w:pPr>
              <w:pStyle w:val="ListParagraph"/>
              <w:numPr>
                <w:ilvl w:val="0"/>
                <w:numId w:val="23"/>
              </w:numPr>
              <w:rPr>
                <w:lang w:val="en-GB"/>
              </w:rPr>
            </w:pPr>
            <w:proofErr w:type="gramStart"/>
            <w:r w:rsidRPr="004F73C6">
              <w:rPr>
                <w:lang w:val="en-GB"/>
              </w:rPr>
              <w:t>work</w:t>
            </w:r>
            <w:proofErr w:type="gramEnd"/>
            <w:r w:rsidRPr="004F73C6">
              <w:rPr>
                <w:lang w:val="en-GB"/>
              </w:rPr>
              <w:t xml:space="preserve"> need to be supplemented by bilateral relationships with INGOs, clarifying what AAI can offer (e.g. in terms of technical support), taking advantages of inclusion and resilience tags.</w:t>
            </w:r>
          </w:p>
          <w:p w14:paraId="5CF08D22" w14:textId="77777777" w:rsidR="00A7276A" w:rsidRPr="004F73C6" w:rsidRDefault="00A7276A" w:rsidP="00323068">
            <w:pPr>
              <w:rPr>
                <w:rFonts w:ascii="Arial" w:hAnsi="Arial" w:cs="Arial"/>
                <w:sz w:val="22"/>
                <w:lang w:val="en-GB"/>
              </w:rPr>
            </w:pPr>
          </w:p>
          <w:p w14:paraId="51D67E0D" w14:textId="77777777" w:rsidR="003301CD" w:rsidRPr="004F73C6" w:rsidRDefault="003301CD" w:rsidP="001310EA">
            <w:pPr>
              <w:rPr>
                <w:b/>
                <w:lang w:val="en-GB"/>
              </w:rPr>
            </w:pPr>
            <w:r w:rsidRPr="004F73C6">
              <w:rPr>
                <w:b/>
                <w:lang w:val="en-GB"/>
              </w:rPr>
              <w:t>Outcome 3: Politicians and political parties engage in ageing and development issues and rights of older people.</w:t>
            </w:r>
          </w:p>
          <w:p w14:paraId="55051123" w14:textId="77777777" w:rsidR="0097054D" w:rsidRPr="004F73C6" w:rsidRDefault="002B5E50" w:rsidP="0097054D">
            <w:pPr>
              <w:pStyle w:val="ListParagraph"/>
              <w:numPr>
                <w:ilvl w:val="0"/>
                <w:numId w:val="22"/>
              </w:numPr>
              <w:rPr>
                <w:lang w:val="en-GB"/>
              </w:rPr>
            </w:pPr>
            <w:r w:rsidRPr="004F73C6">
              <w:rPr>
                <w:lang w:val="en-GB"/>
              </w:rPr>
              <w:t xml:space="preserve">an advocacy strategy has helped to provide direction for activities </w:t>
            </w:r>
          </w:p>
          <w:p w14:paraId="0EFDB98E" w14:textId="5A5B3006" w:rsidR="0097054D" w:rsidRPr="004F73C6" w:rsidRDefault="002B5E50" w:rsidP="0097054D">
            <w:pPr>
              <w:pStyle w:val="ListParagraph"/>
              <w:numPr>
                <w:ilvl w:val="0"/>
                <w:numId w:val="19"/>
              </w:numPr>
              <w:rPr>
                <w:lang w:val="en-GB"/>
              </w:rPr>
            </w:pPr>
            <w:proofErr w:type="gramStart"/>
            <w:r w:rsidRPr="004F73C6">
              <w:rPr>
                <w:lang w:val="en-GB"/>
              </w:rPr>
              <w:t>key</w:t>
            </w:r>
            <w:proofErr w:type="gramEnd"/>
            <w:r w:rsidRPr="004F73C6">
              <w:rPr>
                <w:lang w:val="en-GB"/>
              </w:rPr>
              <w:t xml:space="preserve"> messages and alliances are yet to be worked out. </w:t>
            </w:r>
          </w:p>
          <w:p w14:paraId="354C794E" w14:textId="559C87D3" w:rsidR="003301CD" w:rsidRPr="004F73C6" w:rsidRDefault="0097054D" w:rsidP="0097054D">
            <w:pPr>
              <w:pStyle w:val="ListParagraph"/>
              <w:numPr>
                <w:ilvl w:val="0"/>
                <w:numId w:val="23"/>
              </w:numPr>
              <w:rPr>
                <w:lang w:val="en-GB"/>
              </w:rPr>
            </w:pPr>
            <w:proofErr w:type="gramStart"/>
            <w:r w:rsidRPr="004F73C6">
              <w:rPr>
                <w:lang w:val="en-GB"/>
              </w:rPr>
              <w:t>t</w:t>
            </w:r>
            <w:r w:rsidR="002B5E50" w:rsidRPr="004F73C6">
              <w:rPr>
                <w:lang w:val="en-GB"/>
              </w:rPr>
              <w:t>here</w:t>
            </w:r>
            <w:proofErr w:type="gramEnd"/>
            <w:r w:rsidR="002B5E50" w:rsidRPr="004F73C6">
              <w:rPr>
                <w:lang w:val="en-GB"/>
              </w:rPr>
              <w:t xml:space="preserve"> are opportunities to work with the AAI Policy and Advocacy on the Convention and to take advantage of AAI’s strong contacts with political parties.</w:t>
            </w:r>
          </w:p>
          <w:p w14:paraId="3A94E778" w14:textId="40D09513" w:rsidR="00323068" w:rsidRPr="004F73C6" w:rsidRDefault="00F841BA" w:rsidP="0082725F">
            <w:pPr>
              <w:pStyle w:val="ListParagraph"/>
              <w:numPr>
                <w:ilvl w:val="0"/>
                <w:numId w:val="23"/>
              </w:numPr>
              <w:rPr>
                <w:lang w:val="en-GB"/>
              </w:rPr>
            </w:pPr>
            <w:proofErr w:type="gramStart"/>
            <w:r w:rsidRPr="004F73C6">
              <w:rPr>
                <w:lang w:val="en-GB"/>
              </w:rPr>
              <w:t>due</w:t>
            </w:r>
            <w:proofErr w:type="gramEnd"/>
            <w:r w:rsidRPr="004F73C6">
              <w:rPr>
                <w:lang w:val="en-GB"/>
              </w:rPr>
              <w:t xml:space="preserve"> to the political timetable (Irish elections) opportunities for change are likely to occur towards the end of the programme, but there is much groundwork to do to build to this point. </w:t>
            </w:r>
          </w:p>
        </w:tc>
      </w:tr>
    </w:tbl>
    <w:p w14:paraId="138530C5" w14:textId="5DDD5611" w:rsidR="00A84F73" w:rsidRPr="004F73C6" w:rsidRDefault="00A66230"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lastRenderedPageBreak/>
        <w:t xml:space="preserve">The relatively slow progress on health and </w:t>
      </w:r>
      <w:r w:rsidR="00FA48AB" w:rsidRPr="004F73C6">
        <w:rPr>
          <w:rFonts w:ascii="Arial" w:eastAsia="Calibri" w:hAnsi="Arial" w:cs="Arial"/>
          <w:sz w:val="22"/>
          <w:lang w:val="en-GB"/>
        </w:rPr>
        <w:t xml:space="preserve">HIV </w:t>
      </w:r>
      <w:r w:rsidR="00987002" w:rsidRPr="004F73C6">
        <w:rPr>
          <w:rFonts w:ascii="Arial" w:eastAsia="Calibri" w:hAnsi="Arial" w:cs="Arial"/>
          <w:sz w:val="22"/>
          <w:lang w:val="en-GB"/>
        </w:rPr>
        <w:t xml:space="preserve">has been </w:t>
      </w:r>
      <w:r w:rsidR="006F2EE2" w:rsidRPr="004F73C6">
        <w:rPr>
          <w:rFonts w:ascii="Arial" w:eastAsia="Calibri" w:hAnsi="Arial" w:cs="Arial"/>
          <w:sz w:val="22"/>
          <w:lang w:val="en-GB"/>
        </w:rPr>
        <w:t xml:space="preserve">accompanied by a reported </w:t>
      </w:r>
      <w:r w:rsidR="00FA48AB" w:rsidRPr="004F73C6">
        <w:rPr>
          <w:rFonts w:ascii="Arial" w:eastAsia="Calibri" w:hAnsi="Arial" w:cs="Arial"/>
          <w:sz w:val="22"/>
          <w:lang w:val="en-GB"/>
        </w:rPr>
        <w:t xml:space="preserve">low level of knowledge and engagement on HIV issues </w:t>
      </w:r>
      <w:r w:rsidR="006F2EE2" w:rsidRPr="004F73C6">
        <w:rPr>
          <w:rFonts w:ascii="Arial" w:eastAsia="Calibri" w:hAnsi="Arial" w:cs="Arial"/>
          <w:sz w:val="22"/>
          <w:lang w:val="en-GB"/>
        </w:rPr>
        <w:t>among OPAs. Although the programme introduced a</w:t>
      </w:r>
      <w:r w:rsidR="00D51FFF" w:rsidRPr="004F73C6">
        <w:rPr>
          <w:rFonts w:ascii="Arial" w:eastAsia="Calibri" w:hAnsi="Arial" w:cs="Arial"/>
          <w:sz w:val="22"/>
          <w:lang w:val="en-GB"/>
        </w:rPr>
        <w:t>n</w:t>
      </w:r>
      <w:r w:rsidR="006F2EE2" w:rsidRPr="004F73C6">
        <w:rPr>
          <w:rFonts w:ascii="Arial" w:eastAsia="Calibri" w:hAnsi="Arial" w:cs="Arial"/>
          <w:sz w:val="22"/>
          <w:lang w:val="en-GB"/>
        </w:rPr>
        <w:t xml:space="preserve"> ‘age-friendliness tool’ </w:t>
      </w:r>
      <w:r w:rsidR="00CB4468" w:rsidRPr="004F73C6">
        <w:rPr>
          <w:rFonts w:ascii="Arial" w:eastAsia="Calibri" w:hAnsi="Arial" w:cs="Arial"/>
          <w:sz w:val="22"/>
          <w:lang w:val="en-GB"/>
        </w:rPr>
        <w:t xml:space="preserve">to assess clinics, this is yet to be harmonized or rolled out effectively. </w:t>
      </w:r>
    </w:p>
    <w:p w14:paraId="5B47440F" w14:textId="75752FFF" w:rsidR="00F93FC6" w:rsidRPr="004F73C6" w:rsidRDefault="004E1167" w:rsidP="00FA66FD">
      <w:pPr>
        <w:tabs>
          <w:tab w:val="num" w:pos="540"/>
        </w:tabs>
        <w:jc w:val="both"/>
        <w:rPr>
          <w:rFonts w:ascii="Arial" w:eastAsia="Calibri" w:hAnsi="Arial" w:cs="Arial"/>
          <w:sz w:val="22"/>
          <w:lang w:val="en-GB"/>
        </w:rPr>
      </w:pPr>
      <w:r w:rsidRPr="004F73C6">
        <w:rPr>
          <w:rFonts w:ascii="Arial" w:eastAsia="Calibri" w:hAnsi="Arial" w:cs="Arial"/>
          <w:sz w:val="22"/>
          <w:lang w:val="en-GB"/>
        </w:rPr>
        <w:t>P</w:t>
      </w:r>
      <w:r w:rsidR="00FA66FD" w:rsidRPr="004F73C6">
        <w:rPr>
          <w:rFonts w:ascii="Arial" w:eastAsia="Calibri" w:hAnsi="Arial" w:cs="Arial"/>
          <w:sz w:val="22"/>
          <w:lang w:val="en-GB"/>
        </w:rPr>
        <w:t xml:space="preserve">olicy engagement </w:t>
      </w:r>
      <w:r w:rsidRPr="004F73C6">
        <w:rPr>
          <w:rFonts w:ascii="Arial" w:eastAsia="Calibri" w:hAnsi="Arial" w:cs="Arial"/>
          <w:sz w:val="22"/>
          <w:lang w:val="en-GB"/>
        </w:rPr>
        <w:t xml:space="preserve">with duty bearers at community level (e.g. via OCMGs) </w:t>
      </w:r>
      <w:r w:rsidR="00FA66FD" w:rsidRPr="004F73C6">
        <w:rPr>
          <w:rFonts w:ascii="Arial" w:eastAsia="Calibri" w:hAnsi="Arial" w:cs="Arial"/>
          <w:sz w:val="22"/>
          <w:lang w:val="en-GB"/>
        </w:rPr>
        <w:t>was found to be good across the programme</w:t>
      </w:r>
      <w:r w:rsidR="006332F8" w:rsidRPr="004F73C6">
        <w:rPr>
          <w:rFonts w:ascii="Arial" w:eastAsia="Calibri" w:hAnsi="Arial" w:cs="Arial"/>
          <w:sz w:val="22"/>
          <w:lang w:val="en-GB"/>
        </w:rPr>
        <w:t xml:space="preserve">, </w:t>
      </w:r>
      <w:r w:rsidRPr="004F73C6">
        <w:rPr>
          <w:rFonts w:ascii="Arial" w:eastAsia="Calibri" w:hAnsi="Arial" w:cs="Arial"/>
          <w:sz w:val="22"/>
          <w:lang w:val="en-GB"/>
        </w:rPr>
        <w:t xml:space="preserve">but </w:t>
      </w:r>
      <w:r w:rsidR="00FA66FD" w:rsidRPr="004F73C6">
        <w:rPr>
          <w:rFonts w:ascii="Arial" w:eastAsia="Calibri" w:hAnsi="Arial" w:cs="Arial"/>
          <w:sz w:val="22"/>
          <w:lang w:val="en-GB"/>
        </w:rPr>
        <w:t xml:space="preserve">some </w:t>
      </w:r>
      <w:r w:rsidR="00FD10AC" w:rsidRPr="004F73C6">
        <w:rPr>
          <w:rFonts w:ascii="Arial" w:eastAsia="Calibri" w:hAnsi="Arial" w:cs="Arial"/>
          <w:sz w:val="22"/>
          <w:lang w:val="en-GB"/>
        </w:rPr>
        <w:t xml:space="preserve">gaps </w:t>
      </w:r>
      <w:r w:rsidRPr="004F73C6">
        <w:rPr>
          <w:rFonts w:ascii="Arial" w:eastAsia="Calibri" w:hAnsi="Arial" w:cs="Arial"/>
          <w:sz w:val="22"/>
          <w:lang w:val="en-GB"/>
        </w:rPr>
        <w:t xml:space="preserve">were observed </w:t>
      </w:r>
      <w:r w:rsidR="00FD10AC" w:rsidRPr="004F73C6">
        <w:rPr>
          <w:rFonts w:ascii="Arial" w:eastAsia="Calibri" w:hAnsi="Arial" w:cs="Arial"/>
          <w:sz w:val="22"/>
          <w:lang w:val="en-GB"/>
        </w:rPr>
        <w:t xml:space="preserve">in </w:t>
      </w:r>
      <w:r w:rsidRPr="004F73C6">
        <w:rPr>
          <w:rFonts w:ascii="Arial" w:eastAsia="Calibri" w:hAnsi="Arial" w:cs="Arial"/>
          <w:sz w:val="22"/>
          <w:lang w:val="en-GB"/>
        </w:rPr>
        <w:t xml:space="preserve">connecting </w:t>
      </w:r>
      <w:r w:rsidR="00054C5E" w:rsidRPr="004F73C6">
        <w:rPr>
          <w:rFonts w:ascii="Arial" w:eastAsia="Calibri" w:hAnsi="Arial" w:cs="Arial"/>
          <w:sz w:val="22"/>
          <w:lang w:val="en-GB"/>
        </w:rPr>
        <w:t xml:space="preserve">local advocacy </w:t>
      </w:r>
      <w:r w:rsidR="00D36B50" w:rsidRPr="004F73C6">
        <w:rPr>
          <w:rFonts w:ascii="Arial" w:eastAsia="Calibri" w:hAnsi="Arial" w:cs="Arial"/>
          <w:sz w:val="22"/>
          <w:lang w:val="en-GB"/>
        </w:rPr>
        <w:t xml:space="preserve">to </w:t>
      </w:r>
      <w:r w:rsidR="00173EA1" w:rsidRPr="004F73C6">
        <w:rPr>
          <w:rFonts w:ascii="Arial" w:eastAsia="Calibri" w:hAnsi="Arial" w:cs="Arial"/>
          <w:sz w:val="22"/>
          <w:lang w:val="en-GB"/>
        </w:rPr>
        <w:t>influencing efforts at other levels – district, provincial and national</w:t>
      </w:r>
      <w:r w:rsidR="00FD10AC" w:rsidRPr="004F73C6">
        <w:rPr>
          <w:rFonts w:ascii="Arial" w:eastAsia="Calibri" w:hAnsi="Arial" w:cs="Arial"/>
          <w:sz w:val="22"/>
          <w:lang w:val="en-GB"/>
        </w:rPr>
        <w:t>. Influencing strategies need</w:t>
      </w:r>
      <w:r w:rsidR="00173EA1" w:rsidRPr="004F73C6">
        <w:rPr>
          <w:rFonts w:ascii="Arial" w:eastAsia="Calibri" w:hAnsi="Arial" w:cs="Arial"/>
          <w:sz w:val="22"/>
          <w:lang w:val="en-GB"/>
        </w:rPr>
        <w:t xml:space="preserve"> to be </w:t>
      </w:r>
      <w:r w:rsidR="00FD10AC" w:rsidRPr="004F73C6">
        <w:rPr>
          <w:rFonts w:ascii="Arial" w:eastAsia="Calibri" w:hAnsi="Arial" w:cs="Arial"/>
          <w:sz w:val="22"/>
          <w:lang w:val="en-GB"/>
        </w:rPr>
        <w:t xml:space="preserve">better </w:t>
      </w:r>
      <w:r w:rsidR="00173EA1" w:rsidRPr="004F73C6">
        <w:rPr>
          <w:rFonts w:ascii="Arial" w:eastAsia="Calibri" w:hAnsi="Arial" w:cs="Arial"/>
          <w:sz w:val="22"/>
          <w:lang w:val="en-GB"/>
        </w:rPr>
        <w:t>identified and a</w:t>
      </w:r>
      <w:r w:rsidR="00D36B50" w:rsidRPr="004F73C6">
        <w:rPr>
          <w:rFonts w:ascii="Arial" w:eastAsia="Calibri" w:hAnsi="Arial" w:cs="Arial"/>
          <w:sz w:val="22"/>
          <w:lang w:val="en-GB"/>
        </w:rPr>
        <w:t xml:space="preserve">ligned to governance structures, </w:t>
      </w:r>
      <w:r w:rsidR="001C4CE2" w:rsidRPr="004F73C6">
        <w:rPr>
          <w:rFonts w:ascii="Arial" w:eastAsia="Calibri" w:hAnsi="Arial" w:cs="Arial"/>
          <w:sz w:val="22"/>
          <w:lang w:val="en-GB"/>
        </w:rPr>
        <w:t xml:space="preserve">especially </w:t>
      </w:r>
      <w:r w:rsidR="00D36B50" w:rsidRPr="004F73C6">
        <w:rPr>
          <w:rFonts w:ascii="Arial" w:eastAsia="Calibri" w:hAnsi="Arial" w:cs="Arial"/>
          <w:sz w:val="22"/>
          <w:lang w:val="en-GB"/>
        </w:rPr>
        <w:t>given the evolving decentralization process in some contexts.</w:t>
      </w:r>
    </w:p>
    <w:p w14:paraId="7855C789" w14:textId="26187875" w:rsidR="00CB6529" w:rsidRPr="004F73C6" w:rsidRDefault="000E72C1"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The largest gap in evidence towards the public policy </w:t>
      </w:r>
      <w:r w:rsidR="00145FA8" w:rsidRPr="004F73C6">
        <w:rPr>
          <w:rFonts w:ascii="Arial" w:eastAsia="Calibri" w:hAnsi="Arial" w:cs="Arial"/>
          <w:sz w:val="22"/>
          <w:lang w:val="en-GB"/>
        </w:rPr>
        <w:t xml:space="preserve">results area is </w:t>
      </w:r>
      <w:r w:rsidRPr="004F73C6">
        <w:rPr>
          <w:rFonts w:ascii="Arial" w:eastAsia="Calibri" w:hAnsi="Arial" w:cs="Arial"/>
          <w:sz w:val="22"/>
          <w:lang w:val="en-GB"/>
        </w:rPr>
        <w:t xml:space="preserve">in </w:t>
      </w:r>
      <w:r w:rsidR="00145FA8" w:rsidRPr="004F73C6">
        <w:rPr>
          <w:rFonts w:ascii="Arial" w:eastAsia="Calibri" w:hAnsi="Arial" w:cs="Arial"/>
          <w:sz w:val="22"/>
          <w:lang w:val="en-GB"/>
        </w:rPr>
        <w:t xml:space="preserve">terms </w:t>
      </w:r>
      <w:r w:rsidRPr="004F73C6">
        <w:rPr>
          <w:rFonts w:ascii="Arial" w:eastAsia="Calibri" w:hAnsi="Arial" w:cs="Arial"/>
          <w:sz w:val="22"/>
          <w:lang w:val="en-GB"/>
        </w:rPr>
        <w:t>of regional advocacy (3.1C).</w:t>
      </w:r>
      <w:r w:rsidR="00D6165C" w:rsidRPr="004F73C6">
        <w:rPr>
          <w:rFonts w:ascii="Arial" w:eastAsia="Calibri" w:hAnsi="Arial" w:cs="Arial"/>
          <w:sz w:val="22"/>
          <w:lang w:val="en-GB"/>
        </w:rPr>
        <w:t xml:space="preserve"> </w:t>
      </w:r>
      <w:r w:rsidR="003E0AB7" w:rsidRPr="004F73C6">
        <w:rPr>
          <w:rFonts w:ascii="Arial" w:eastAsia="Calibri" w:hAnsi="Arial" w:cs="Arial"/>
          <w:sz w:val="22"/>
          <w:lang w:val="en-GB"/>
        </w:rPr>
        <w:t xml:space="preserve">Although networks are well developed at national level, there is little evidence as yet of linking </w:t>
      </w:r>
      <w:r w:rsidR="00145FA8" w:rsidRPr="004F73C6">
        <w:rPr>
          <w:rFonts w:ascii="Arial" w:eastAsia="Calibri" w:hAnsi="Arial" w:cs="Arial"/>
          <w:sz w:val="22"/>
          <w:lang w:val="en-GB"/>
        </w:rPr>
        <w:t xml:space="preserve">these to </w:t>
      </w:r>
      <w:r w:rsidR="003E0AB7" w:rsidRPr="004F73C6">
        <w:rPr>
          <w:rFonts w:ascii="Arial" w:eastAsia="Calibri" w:hAnsi="Arial" w:cs="Arial"/>
          <w:sz w:val="22"/>
          <w:lang w:val="en-GB"/>
        </w:rPr>
        <w:t xml:space="preserve">regional </w:t>
      </w:r>
      <w:r w:rsidR="00145FA8" w:rsidRPr="004F73C6">
        <w:rPr>
          <w:rFonts w:ascii="Arial" w:eastAsia="Calibri" w:hAnsi="Arial" w:cs="Arial"/>
          <w:sz w:val="22"/>
          <w:lang w:val="en-GB"/>
        </w:rPr>
        <w:t>advocacy</w:t>
      </w:r>
      <w:r w:rsidR="003E0AB7" w:rsidRPr="004F73C6">
        <w:rPr>
          <w:rFonts w:ascii="Arial" w:eastAsia="Calibri" w:hAnsi="Arial" w:cs="Arial"/>
          <w:sz w:val="22"/>
          <w:lang w:val="en-GB"/>
        </w:rPr>
        <w:t xml:space="preserve">. </w:t>
      </w:r>
      <w:r w:rsidR="00D6165C" w:rsidRPr="004F73C6">
        <w:rPr>
          <w:rFonts w:ascii="Arial" w:eastAsia="Calibri" w:hAnsi="Arial" w:cs="Arial"/>
          <w:sz w:val="22"/>
          <w:lang w:val="en-GB"/>
        </w:rPr>
        <w:t xml:space="preserve">The programme has </w:t>
      </w:r>
      <w:r w:rsidR="00EF23CE" w:rsidRPr="004F73C6">
        <w:rPr>
          <w:rFonts w:ascii="Arial" w:eastAsia="Calibri" w:hAnsi="Arial" w:cs="Arial"/>
          <w:sz w:val="22"/>
          <w:lang w:val="en-GB"/>
        </w:rPr>
        <w:t xml:space="preserve">completed a number of </w:t>
      </w:r>
      <w:r w:rsidR="00D6165C" w:rsidRPr="004F73C6">
        <w:rPr>
          <w:rFonts w:ascii="Arial" w:eastAsia="Calibri" w:hAnsi="Arial" w:cs="Arial"/>
          <w:sz w:val="22"/>
          <w:lang w:val="en-GB"/>
        </w:rPr>
        <w:t xml:space="preserve">potentially useful studies </w:t>
      </w:r>
      <w:r w:rsidR="00EF23CE" w:rsidRPr="004F73C6">
        <w:rPr>
          <w:rFonts w:ascii="Arial" w:eastAsia="Calibri" w:hAnsi="Arial" w:cs="Arial"/>
          <w:sz w:val="22"/>
          <w:lang w:val="en-GB"/>
        </w:rPr>
        <w:t xml:space="preserve">e.g. of </w:t>
      </w:r>
      <w:r w:rsidR="00D6165C" w:rsidRPr="004F73C6">
        <w:rPr>
          <w:rFonts w:ascii="Arial" w:eastAsia="Calibri" w:hAnsi="Arial" w:cs="Arial"/>
          <w:sz w:val="22"/>
          <w:lang w:val="en-GB"/>
        </w:rPr>
        <w:t xml:space="preserve">health policy and </w:t>
      </w:r>
      <w:r w:rsidR="00EF23CE" w:rsidRPr="004F73C6">
        <w:rPr>
          <w:rFonts w:ascii="Arial" w:eastAsia="Calibri" w:hAnsi="Arial" w:cs="Arial"/>
          <w:sz w:val="22"/>
          <w:lang w:val="en-GB"/>
        </w:rPr>
        <w:t xml:space="preserve">of </w:t>
      </w:r>
      <w:r w:rsidR="00C76E35" w:rsidRPr="004F73C6">
        <w:rPr>
          <w:rFonts w:ascii="Arial" w:eastAsia="Calibri" w:hAnsi="Arial" w:cs="Arial"/>
          <w:sz w:val="22"/>
          <w:lang w:val="en-GB"/>
        </w:rPr>
        <w:t xml:space="preserve">social accountability </w:t>
      </w:r>
      <w:r w:rsidR="003E0AB7" w:rsidRPr="004F73C6">
        <w:rPr>
          <w:rFonts w:ascii="Arial" w:eastAsia="Calibri" w:hAnsi="Arial" w:cs="Arial"/>
          <w:sz w:val="22"/>
          <w:lang w:val="en-GB"/>
        </w:rPr>
        <w:t xml:space="preserve">as a reference for regional policy work, but </w:t>
      </w:r>
      <w:r w:rsidR="004E1167" w:rsidRPr="004F73C6">
        <w:rPr>
          <w:rFonts w:ascii="Arial" w:eastAsia="Calibri" w:hAnsi="Arial" w:cs="Arial"/>
          <w:sz w:val="22"/>
          <w:lang w:val="en-GB"/>
        </w:rPr>
        <w:t xml:space="preserve">at the time of the review, </w:t>
      </w:r>
      <w:r w:rsidR="003E0AB7" w:rsidRPr="004F73C6">
        <w:rPr>
          <w:rFonts w:ascii="Arial" w:eastAsia="Calibri" w:hAnsi="Arial" w:cs="Arial"/>
          <w:sz w:val="22"/>
          <w:lang w:val="en-GB"/>
        </w:rPr>
        <w:t xml:space="preserve">a joined-up strategy </w:t>
      </w:r>
      <w:r w:rsidR="004E1167" w:rsidRPr="004F73C6">
        <w:rPr>
          <w:rFonts w:ascii="Arial" w:eastAsia="Calibri" w:hAnsi="Arial" w:cs="Arial"/>
          <w:sz w:val="22"/>
          <w:lang w:val="en-GB"/>
        </w:rPr>
        <w:t>on how to take these forward had</w:t>
      </w:r>
      <w:r w:rsidR="003E0AB7" w:rsidRPr="004F73C6">
        <w:rPr>
          <w:rFonts w:ascii="Arial" w:eastAsia="Calibri" w:hAnsi="Arial" w:cs="Arial"/>
          <w:sz w:val="22"/>
          <w:lang w:val="en-GB"/>
        </w:rPr>
        <w:t xml:space="preserve"> yet to be worked out.</w:t>
      </w:r>
    </w:p>
    <w:p w14:paraId="067C7066" w14:textId="7A0805B9" w:rsidR="003E0AB7" w:rsidRPr="004F73C6" w:rsidRDefault="004E1167"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Overall AFFORD </w:t>
      </w:r>
      <w:r w:rsidR="00DA71D7" w:rsidRPr="004F73C6">
        <w:rPr>
          <w:rFonts w:ascii="Arial" w:eastAsia="Calibri" w:hAnsi="Arial" w:cs="Arial"/>
          <w:sz w:val="22"/>
          <w:lang w:val="en-GB"/>
        </w:rPr>
        <w:t xml:space="preserve">shows good </w:t>
      </w:r>
      <w:r w:rsidR="00F247B1" w:rsidRPr="004F73C6">
        <w:rPr>
          <w:rFonts w:ascii="Arial" w:eastAsia="Calibri" w:hAnsi="Arial" w:cs="Arial"/>
          <w:sz w:val="22"/>
          <w:lang w:val="en-GB"/>
        </w:rPr>
        <w:t xml:space="preserve">progress against the </w:t>
      </w:r>
      <w:r w:rsidRPr="004F73C6">
        <w:rPr>
          <w:rFonts w:ascii="Arial" w:eastAsia="Calibri" w:hAnsi="Arial" w:cs="Arial"/>
          <w:sz w:val="22"/>
          <w:lang w:val="en-GB"/>
        </w:rPr>
        <w:t xml:space="preserve">milestones in the </w:t>
      </w:r>
      <w:r w:rsidR="00DA71D7" w:rsidRPr="004F73C6">
        <w:rPr>
          <w:rFonts w:ascii="Arial" w:eastAsia="Calibri" w:hAnsi="Arial" w:cs="Arial"/>
          <w:sz w:val="22"/>
          <w:lang w:val="en-GB"/>
        </w:rPr>
        <w:t xml:space="preserve">results framework, </w:t>
      </w:r>
      <w:r w:rsidRPr="004F73C6">
        <w:rPr>
          <w:rFonts w:ascii="Arial" w:eastAsia="Calibri" w:hAnsi="Arial" w:cs="Arial"/>
          <w:sz w:val="22"/>
          <w:lang w:val="en-GB"/>
        </w:rPr>
        <w:t xml:space="preserve">but </w:t>
      </w:r>
      <w:r w:rsidR="00A16387" w:rsidRPr="004F73C6">
        <w:rPr>
          <w:rFonts w:ascii="Arial" w:eastAsia="Calibri" w:hAnsi="Arial" w:cs="Arial"/>
          <w:sz w:val="22"/>
          <w:lang w:val="en-GB"/>
        </w:rPr>
        <w:t xml:space="preserve">it is </w:t>
      </w:r>
      <w:r w:rsidR="002D0A9B" w:rsidRPr="004F73C6">
        <w:rPr>
          <w:rFonts w:ascii="Arial" w:eastAsia="Calibri" w:hAnsi="Arial" w:cs="Arial"/>
          <w:sz w:val="22"/>
          <w:lang w:val="en-GB"/>
        </w:rPr>
        <w:t xml:space="preserve">often </w:t>
      </w:r>
      <w:r w:rsidR="00A16387" w:rsidRPr="004F73C6">
        <w:rPr>
          <w:rFonts w:ascii="Arial" w:eastAsia="Calibri" w:hAnsi="Arial" w:cs="Arial"/>
          <w:sz w:val="22"/>
          <w:lang w:val="en-GB"/>
        </w:rPr>
        <w:t xml:space="preserve">not clear how the </w:t>
      </w:r>
      <w:r w:rsidR="00E15885" w:rsidRPr="004F73C6">
        <w:rPr>
          <w:rFonts w:ascii="Arial" w:eastAsia="Calibri" w:hAnsi="Arial" w:cs="Arial"/>
          <w:sz w:val="22"/>
          <w:lang w:val="en-GB"/>
        </w:rPr>
        <w:t xml:space="preserve">programme </w:t>
      </w:r>
      <w:r w:rsidR="00A16387" w:rsidRPr="004F73C6">
        <w:rPr>
          <w:rFonts w:ascii="Arial" w:eastAsia="Calibri" w:hAnsi="Arial" w:cs="Arial"/>
          <w:sz w:val="22"/>
          <w:lang w:val="en-GB"/>
        </w:rPr>
        <w:t>activities have contributed to the</w:t>
      </w:r>
      <w:r w:rsidR="001B6ACA" w:rsidRPr="004F73C6">
        <w:rPr>
          <w:rFonts w:ascii="Arial" w:eastAsia="Calibri" w:hAnsi="Arial" w:cs="Arial"/>
          <w:sz w:val="22"/>
          <w:lang w:val="en-GB"/>
        </w:rPr>
        <w:t>se</w:t>
      </w:r>
      <w:r w:rsidR="00A16387" w:rsidRPr="004F73C6">
        <w:rPr>
          <w:rFonts w:ascii="Arial" w:eastAsia="Calibri" w:hAnsi="Arial" w:cs="Arial"/>
          <w:sz w:val="22"/>
          <w:lang w:val="en-GB"/>
        </w:rPr>
        <w:t xml:space="preserve"> results. This is a concern also picked up by the </w:t>
      </w:r>
      <w:r w:rsidR="00DA71D7" w:rsidRPr="004F73C6">
        <w:rPr>
          <w:rFonts w:ascii="Arial" w:eastAsia="Calibri" w:hAnsi="Arial" w:cs="Arial"/>
          <w:sz w:val="22"/>
          <w:lang w:val="en-GB"/>
        </w:rPr>
        <w:t xml:space="preserve">draft report of the Irish Aid monitoring visit to </w:t>
      </w:r>
      <w:r w:rsidR="00C30693" w:rsidRPr="004F73C6">
        <w:rPr>
          <w:rFonts w:ascii="Arial" w:eastAsia="Calibri" w:hAnsi="Arial" w:cs="Arial"/>
          <w:i/>
          <w:sz w:val="22"/>
          <w:lang w:val="en-GB"/>
        </w:rPr>
        <w:t>Mozambique</w:t>
      </w:r>
      <w:r w:rsidR="00A16387" w:rsidRPr="004F73C6">
        <w:rPr>
          <w:rFonts w:ascii="Arial" w:eastAsia="Calibri" w:hAnsi="Arial" w:cs="Arial"/>
          <w:sz w:val="22"/>
          <w:lang w:val="en-GB"/>
        </w:rPr>
        <w:t>.</w:t>
      </w:r>
      <w:r w:rsidR="00353A18" w:rsidRPr="004F73C6">
        <w:rPr>
          <w:rStyle w:val="FootnoteReference"/>
          <w:rFonts w:ascii="Arial" w:eastAsia="Calibri" w:hAnsi="Arial" w:cs="Arial"/>
          <w:sz w:val="22"/>
          <w:lang w:val="en-GB"/>
        </w:rPr>
        <w:footnoteReference w:id="9"/>
      </w:r>
      <w:r w:rsidR="00A16387" w:rsidRPr="004F73C6">
        <w:rPr>
          <w:rFonts w:ascii="Arial" w:eastAsia="Calibri" w:hAnsi="Arial" w:cs="Arial"/>
          <w:sz w:val="22"/>
          <w:lang w:val="en-GB"/>
        </w:rPr>
        <w:t xml:space="preserve"> </w:t>
      </w:r>
      <w:r w:rsidR="0086012B" w:rsidRPr="004F73C6">
        <w:rPr>
          <w:rFonts w:ascii="Arial" w:eastAsia="Calibri" w:hAnsi="Arial" w:cs="Arial"/>
          <w:sz w:val="22"/>
          <w:lang w:val="en-GB"/>
        </w:rPr>
        <w:t xml:space="preserve">It occurs </w:t>
      </w:r>
      <w:r w:rsidR="001B6ACA" w:rsidRPr="004F73C6">
        <w:rPr>
          <w:rFonts w:ascii="Arial" w:eastAsia="Calibri" w:hAnsi="Arial" w:cs="Arial"/>
          <w:sz w:val="22"/>
          <w:lang w:val="en-GB"/>
        </w:rPr>
        <w:t xml:space="preserve">because both outcome and output indicators in the results frame are set at a very high level. To a large extent </w:t>
      </w:r>
      <w:r w:rsidR="00A43950" w:rsidRPr="004F73C6">
        <w:rPr>
          <w:rFonts w:ascii="Arial" w:eastAsia="Calibri" w:hAnsi="Arial" w:cs="Arial"/>
          <w:sz w:val="22"/>
          <w:lang w:val="en-GB"/>
        </w:rPr>
        <w:t xml:space="preserve">the indicators </w:t>
      </w:r>
      <w:r w:rsidR="001B6ACA" w:rsidRPr="004F73C6">
        <w:rPr>
          <w:rFonts w:ascii="Arial" w:eastAsia="Calibri" w:hAnsi="Arial" w:cs="Arial"/>
          <w:sz w:val="22"/>
          <w:lang w:val="en-GB"/>
        </w:rPr>
        <w:t>relate to actions taken by other actors</w:t>
      </w:r>
      <w:r w:rsidR="00A43950" w:rsidRPr="004F73C6">
        <w:rPr>
          <w:rFonts w:ascii="Arial" w:eastAsia="Calibri" w:hAnsi="Arial" w:cs="Arial"/>
          <w:sz w:val="22"/>
          <w:lang w:val="en-GB"/>
        </w:rPr>
        <w:t>,</w:t>
      </w:r>
      <w:r w:rsidR="001B6ACA" w:rsidRPr="004F73C6">
        <w:rPr>
          <w:rFonts w:ascii="Arial" w:eastAsia="Calibri" w:hAnsi="Arial" w:cs="Arial"/>
          <w:sz w:val="22"/>
          <w:lang w:val="en-GB"/>
        </w:rPr>
        <w:t xml:space="preserve"> especially government</w:t>
      </w:r>
      <w:r w:rsidR="0086012B" w:rsidRPr="004F73C6">
        <w:rPr>
          <w:rFonts w:ascii="Arial" w:eastAsia="Calibri" w:hAnsi="Arial" w:cs="Arial"/>
          <w:sz w:val="22"/>
          <w:lang w:val="en-GB"/>
        </w:rPr>
        <w:t xml:space="preserve">, which </w:t>
      </w:r>
      <w:r w:rsidR="00867E4A" w:rsidRPr="004F73C6">
        <w:rPr>
          <w:rFonts w:ascii="Arial" w:eastAsia="Calibri" w:hAnsi="Arial" w:cs="Arial"/>
          <w:sz w:val="22"/>
          <w:lang w:val="en-GB"/>
        </w:rPr>
        <w:t xml:space="preserve">are </w:t>
      </w:r>
      <w:r w:rsidR="0086012B" w:rsidRPr="004F73C6">
        <w:rPr>
          <w:rFonts w:ascii="Arial" w:eastAsia="Calibri" w:hAnsi="Arial" w:cs="Arial"/>
          <w:sz w:val="22"/>
          <w:lang w:val="en-GB"/>
        </w:rPr>
        <w:t>key target</w:t>
      </w:r>
      <w:r w:rsidR="00867E4A" w:rsidRPr="004F73C6">
        <w:rPr>
          <w:rFonts w:ascii="Arial" w:eastAsia="Calibri" w:hAnsi="Arial" w:cs="Arial"/>
          <w:sz w:val="22"/>
          <w:lang w:val="en-GB"/>
        </w:rPr>
        <w:t>s</w:t>
      </w:r>
      <w:r w:rsidR="0086012B" w:rsidRPr="004F73C6">
        <w:rPr>
          <w:rFonts w:ascii="Arial" w:eastAsia="Calibri" w:hAnsi="Arial" w:cs="Arial"/>
          <w:sz w:val="22"/>
          <w:lang w:val="en-GB"/>
        </w:rPr>
        <w:t xml:space="preserve"> of AFFORD influencing activities</w:t>
      </w:r>
      <w:r w:rsidR="001B6ACA" w:rsidRPr="004F73C6">
        <w:rPr>
          <w:rFonts w:ascii="Arial" w:eastAsia="Calibri" w:hAnsi="Arial" w:cs="Arial"/>
          <w:sz w:val="22"/>
          <w:lang w:val="en-GB"/>
        </w:rPr>
        <w:t xml:space="preserve">. </w:t>
      </w:r>
      <w:r w:rsidR="00E15885" w:rsidRPr="004F73C6">
        <w:rPr>
          <w:rFonts w:ascii="Arial" w:eastAsia="Calibri" w:hAnsi="Arial" w:cs="Arial"/>
          <w:sz w:val="22"/>
          <w:lang w:val="en-GB"/>
        </w:rPr>
        <w:t>I</w:t>
      </w:r>
      <w:r w:rsidR="00A43950" w:rsidRPr="004F73C6">
        <w:rPr>
          <w:rFonts w:ascii="Arial" w:eastAsia="Calibri" w:hAnsi="Arial" w:cs="Arial"/>
          <w:sz w:val="22"/>
          <w:lang w:val="en-GB"/>
        </w:rPr>
        <w:t xml:space="preserve">t is </w:t>
      </w:r>
      <w:r w:rsidR="00E15885" w:rsidRPr="004F73C6">
        <w:rPr>
          <w:rFonts w:ascii="Arial" w:eastAsia="Calibri" w:hAnsi="Arial" w:cs="Arial"/>
          <w:sz w:val="22"/>
          <w:lang w:val="en-GB"/>
        </w:rPr>
        <w:t xml:space="preserve">therefore </w:t>
      </w:r>
      <w:r w:rsidR="0086012B" w:rsidRPr="004F73C6">
        <w:rPr>
          <w:rFonts w:ascii="Arial" w:eastAsia="Calibri" w:hAnsi="Arial" w:cs="Arial"/>
          <w:sz w:val="22"/>
          <w:lang w:val="en-GB"/>
        </w:rPr>
        <w:t xml:space="preserve">difficult </w:t>
      </w:r>
      <w:r w:rsidR="00A43950" w:rsidRPr="004F73C6">
        <w:rPr>
          <w:rFonts w:ascii="Arial" w:eastAsia="Calibri" w:hAnsi="Arial" w:cs="Arial"/>
          <w:sz w:val="22"/>
          <w:lang w:val="en-GB"/>
        </w:rPr>
        <w:t xml:space="preserve">to </w:t>
      </w:r>
      <w:r w:rsidR="0086012B" w:rsidRPr="004F73C6">
        <w:rPr>
          <w:rFonts w:ascii="Arial" w:eastAsia="Calibri" w:hAnsi="Arial" w:cs="Arial"/>
          <w:sz w:val="22"/>
          <w:lang w:val="en-GB"/>
        </w:rPr>
        <w:t xml:space="preserve">assess </w:t>
      </w:r>
      <w:r w:rsidR="00A43950" w:rsidRPr="004F73C6">
        <w:rPr>
          <w:rFonts w:ascii="Arial" w:eastAsia="Calibri" w:hAnsi="Arial" w:cs="Arial"/>
          <w:sz w:val="22"/>
          <w:lang w:val="en-GB"/>
        </w:rPr>
        <w:t xml:space="preserve">the extent to which changes recorded have been influenced by the programme, </w:t>
      </w:r>
      <w:r w:rsidR="00867E4A" w:rsidRPr="004F73C6">
        <w:rPr>
          <w:rFonts w:ascii="Arial" w:eastAsia="Calibri" w:hAnsi="Arial" w:cs="Arial"/>
          <w:sz w:val="22"/>
          <w:lang w:val="en-GB"/>
        </w:rPr>
        <w:t xml:space="preserve">and what </w:t>
      </w:r>
      <w:r w:rsidR="0086012B" w:rsidRPr="004F73C6">
        <w:rPr>
          <w:rFonts w:ascii="Arial" w:eastAsia="Calibri" w:hAnsi="Arial" w:cs="Arial"/>
          <w:sz w:val="22"/>
          <w:lang w:val="en-GB"/>
        </w:rPr>
        <w:t>occurred</w:t>
      </w:r>
      <w:r w:rsidR="00272050" w:rsidRPr="004F73C6">
        <w:rPr>
          <w:rFonts w:ascii="Arial" w:eastAsia="Calibri" w:hAnsi="Arial" w:cs="Arial"/>
          <w:sz w:val="22"/>
          <w:lang w:val="en-GB"/>
        </w:rPr>
        <w:t xml:space="preserve"> as a result of </w:t>
      </w:r>
      <w:r w:rsidR="00A43950" w:rsidRPr="004F73C6">
        <w:rPr>
          <w:rFonts w:ascii="Arial" w:eastAsia="Calibri" w:hAnsi="Arial" w:cs="Arial"/>
          <w:sz w:val="22"/>
          <w:lang w:val="en-GB"/>
        </w:rPr>
        <w:t xml:space="preserve">other external factors. </w:t>
      </w:r>
    </w:p>
    <w:p w14:paraId="210F3AFA" w14:textId="02986F16" w:rsidR="003E0AB7" w:rsidRPr="004F73C6" w:rsidRDefault="007F7E45" w:rsidP="005636C7">
      <w:pPr>
        <w:pStyle w:val="Heading1"/>
        <w:rPr>
          <w:rFonts w:eastAsia="Calibri"/>
          <w:lang w:val="en-GB"/>
        </w:rPr>
      </w:pPr>
      <w:bookmarkStart w:id="4" w:name="_Toc402974749"/>
      <w:r w:rsidRPr="004F73C6">
        <w:rPr>
          <w:rFonts w:eastAsia="Calibri"/>
          <w:lang w:val="en-GB"/>
        </w:rPr>
        <w:t>Efficiency</w:t>
      </w:r>
      <w:bookmarkEnd w:id="4"/>
    </w:p>
    <w:p w14:paraId="578400FB" w14:textId="5B7A6393" w:rsidR="00DD3C31" w:rsidRPr="004F73C6" w:rsidRDefault="00DD3C31"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To investigate efficiency, the review </w:t>
      </w:r>
      <w:r w:rsidR="00712560" w:rsidRPr="004F73C6">
        <w:rPr>
          <w:rFonts w:ascii="Arial" w:eastAsia="Calibri" w:hAnsi="Arial" w:cs="Arial"/>
          <w:sz w:val="22"/>
          <w:lang w:val="en-GB"/>
        </w:rPr>
        <w:t xml:space="preserve">identified </w:t>
      </w:r>
      <w:r w:rsidRPr="004F73C6">
        <w:rPr>
          <w:rFonts w:ascii="Arial" w:eastAsia="Calibri" w:hAnsi="Arial" w:cs="Arial"/>
          <w:sz w:val="22"/>
          <w:lang w:val="en-GB"/>
        </w:rPr>
        <w:t xml:space="preserve">costs and results associated with significant areas of budget allocation </w:t>
      </w:r>
      <w:r w:rsidR="003D1254" w:rsidRPr="004F73C6">
        <w:rPr>
          <w:rFonts w:ascii="Arial" w:eastAsia="Calibri" w:hAnsi="Arial" w:cs="Arial"/>
          <w:sz w:val="22"/>
          <w:lang w:val="en-GB"/>
        </w:rPr>
        <w:t xml:space="preserve">to evaluate if </w:t>
      </w:r>
      <w:r w:rsidR="001F3B60" w:rsidRPr="004F73C6">
        <w:rPr>
          <w:rFonts w:ascii="Arial" w:eastAsia="Calibri" w:hAnsi="Arial" w:cs="Arial"/>
          <w:sz w:val="22"/>
          <w:lang w:val="en-GB"/>
        </w:rPr>
        <w:t xml:space="preserve">returns were reasonable, and whether </w:t>
      </w:r>
      <w:r w:rsidR="00A56185" w:rsidRPr="004F73C6">
        <w:rPr>
          <w:rFonts w:ascii="Arial" w:eastAsia="Calibri" w:hAnsi="Arial" w:cs="Arial"/>
          <w:sz w:val="22"/>
          <w:lang w:val="en-GB"/>
        </w:rPr>
        <w:t>the results could be delivered in a more cost-effective way</w:t>
      </w:r>
      <w:r w:rsidR="001F3B60" w:rsidRPr="004F73C6">
        <w:rPr>
          <w:rFonts w:ascii="Arial" w:eastAsia="Calibri" w:hAnsi="Arial" w:cs="Arial"/>
          <w:sz w:val="22"/>
          <w:lang w:val="en-GB"/>
        </w:rPr>
        <w:t xml:space="preserve">. The review also looked to some extent at management arrangements in delivering the outputs. </w:t>
      </w:r>
      <w:r w:rsidR="00530F7D" w:rsidRPr="004F73C6">
        <w:rPr>
          <w:rFonts w:ascii="Arial" w:eastAsia="Calibri" w:hAnsi="Arial" w:cs="Arial"/>
          <w:sz w:val="22"/>
          <w:lang w:val="en-GB"/>
        </w:rPr>
        <w:t xml:space="preserve">This was a difficult area to research given the </w:t>
      </w:r>
      <w:r w:rsidR="0045357E" w:rsidRPr="004F73C6">
        <w:rPr>
          <w:rFonts w:ascii="Arial" w:eastAsia="Calibri" w:hAnsi="Arial" w:cs="Arial"/>
          <w:sz w:val="22"/>
          <w:lang w:val="en-GB"/>
        </w:rPr>
        <w:t xml:space="preserve">lack of benchmarks on key activities. In retrospect, it might have been possible to compare unit costs for similar activities </w:t>
      </w:r>
      <w:r w:rsidR="00651C37" w:rsidRPr="004F73C6">
        <w:rPr>
          <w:rFonts w:ascii="Arial" w:eastAsia="Calibri" w:hAnsi="Arial" w:cs="Arial"/>
          <w:sz w:val="22"/>
          <w:lang w:val="en-GB"/>
        </w:rPr>
        <w:t xml:space="preserve">across </w:t>
      </w:r>
      <w:r w:rsidR="0045357E" w:rsidRPr="004F73C6">
        <w:rPr>
          <w:rFonts w:ascii="Arial" w:eastAsia="Calibri" w:hAnsi="Arial" w:cs="Arial"/>
          <w:sz w:val="22"/>
          <w:lang w:val="en-GB"/>
        </w:rPr>
        <w:t>country programmes</w:t>
      </w:r>
      <w:r w:rsidR="00651C37" w:rsidRPr="004F73C6">
        <w:rPr>
          <w:rFonts w:ascii="Arial" w:eastAsia="Calibri" w:hAnsi="Arial" w:cs="Arial"/>
          <w:sz w:val="22"/>
          <w:lang w:val="en-GB"/>
        </w:rPr>
        <w:t xml:space="preserve">, but this </w:t>
      </w:r>
      <w:r w:rsidR="00666D18" w:rsidRPr="004F73C6">
        <w:rPr>
          <w:rFonts w:ascii="Arial" w:eastAsia="Calibri" w:hAnsi="Arial" w:cs="Arial"/>
          <w:sz w:val="22"/>
          <w:lang w:val="en-GB"/>
        </w:rPr>
        <w:t>was not done due to limited data and time to</w:t>
      </w:r>
      <w:r w:rsidR="00A44104" w:rsidRPr="004F73C6">
        <w:rPr>
          <w:rFonts w:ascii="Arial" w:eastAsia="Calibri" w:hAnsi="Arial" w:cs="Arial"/>
          <w:sz w:val="22"/>
          <w:lang w:val="en-GB"/>
        </w:rPr>
        <w:t xml:space="preserve"> establish ‘fair’ comparisons</w:t>
      </w:r>
      <w:r w:rsidR="0045357E" w:rsidRPr="004F73C6">
        <w:rPr>
          <w:rFonts w:ascii="Arial" w:eastAsia="Calibri" w:hAnsi="Arial" w:cs="Arial"/>
          <w:sz w:val="22"/>
          <w:lang w:val="en-GB"/>
        </w:rPr>
        <w:t>.</w:t>
      </w:r>
    </w:p>
    <w:p w14:paraId="2CCD483E" w14:textId="344B5328" w:rsidR="008E7632" w:rsidRPr="004F73C6" w:rsidRDefault="008E7632" w:rsidP="0067706D">
      <w:pPr>
        <w:tabs>
          <w:tab w:val="num" w:pos="540"/>
        </w:tabs>
        <w:jc w:val="both"/>
        <w:rPr>
          <w:rFonts w:ascii="Arial" w:eastAsia="Calibri" w:hAnsi="Arial" w:cs="Arial"/>
          <w:sz w:val="22"/>
          <w:lang w:val="en-GB"/>
        </w:rPr>
      </w:pPr>
      <w:r w:rsidRPr="004F73C6">
        <w:rPr>
          <w:rFonts w:ascii="Arial" w:eastAsia="Calibri" w:hAnsi="Arial" w:cs="Arial"/>
          <w:i/>
          <w:sz w:val="22"/>
          <w:lang w:val="en-GB"/>
        </w:rPr>
        <w:t xml:space="preserve">In </w:t>
      </w:r>
      <w:r w:rsidR="00C30693" w:rsidRPr="004F73C6">
        <w:rPr>
          <w:rFonts w:ascii="Arial" w:eastAsia="Calibri" w:hAnsi="Arial" w:cs="Arial"/>
          <w:i/>
          <w:sz w:val="22"/>
          <w:lang w:val="en-GB"/>
        </w:rPr>
        <w:t>Tanzania</w:t>
      </w:r>
      <w:r w:rsidRPr="004F73C6">
        <w:rPr>
          <w:rFonts w:ascii="Arial" w:eastAsia="Calibri" w:hAnsi="Arial" w:cs="Arial"/>
          <w:i/>
          <w:sz w:val="22"/>
          <w:lang w:val="en-GB"/>
        </w:rPr>
        <w:t>,</w:t>
      </w:r>
      <w:r w:rsidRPr="004F73C6">
        <w:rPr>
          <w:rFonts w:ascii="Arial" w:eastAsia="Calibri" w:hAnsi="Arial" w:cs="Arial"/>
          <w:sz w:val="22"/>
          <w:lang w:val="en-GB"/>
        </w:rPr>
        <w:t xml:space="preserve"> </w:t>
      </w:r>
      <w:r w:rsidR="00991AC2" w:rsidRPr="004F73C6">
        <w:rPr>
          <w:rFonts w:ascii="Arial" w:eastAsia="Calibri" w:hAnsi="Arial" w:cs="Arial"/>
          <w:sz w:val="22"/>
          <w:lang w:val="en-GB"/>
        </w:rPr>
        <w:t xml:space="preserve">EUR 27,838 was spent on training and </w:t>
      </w:r>
      <w:r w:rsidR="00240823" w:rsidRPr="004F73C6">
        <w:rPr>
          <w:rFonts w:ascii="Arial" w:eastAsia="Calibri" w:hAnsi="Arial" w:cs="Arial"/>
          <w:sz w:val="22"/>
          <w:lang w:val="en-GB"/>
        </w:rPr>
        <w:t xml:space="preserve">support to the work of </w:t>
      </w:r>
      <w:r w:rsidR="00991AC2" w:rsidRPr="004F73C6">
        <w:rPr>
          <w:rFonts w:ascii="Arial" w:eastAsia="Calibri" w:hAnsi="Arial" w:cs="Arial"/>
          <w:sz w:val="22"/>
          <w:lang w:val="en-GB"/>
        </w:rPr>
        <w:t>1,040 community monitors</w:t>
      </w:r>
      <w:r w:rsidR="00240823" w:rsidRPr="004F73C6">
        <w:rPr>
          <w:rFonts w:ascii="Arial" w:eastAsia="Calibri" w:hAnsi="Arial" w:cs="Arial"/>
          <w:sz w:val="22"/>
          <w:lang w:val="en-GB"/>
        </w:rPr>
        <w:t>. At EUR 136 per activist this could seem high,</w:t>
      </w:r>
      <w:r w:rsidR="000F4B65" w:rsidRPr="004F73C6">
        <w:rPr>
          <w:rFonts w:ascii="Arial" w:eastAsia="Calibri" w:hAnsi="Arial" w:cs="Arial"/>
          <w:sz w:val="22"/>
          <w:lang w:val="en-GB"/>
        </w:rPr>
        <w:t xml:space="preserve"> </w:t>
      </w:r>
      <w:r w:rsidR="00240823" w:rsidRPr="004F73C6">
        <w:rPr>
          <w:rFonts w:ascii="Arial" w:eastAsia="Calibri" w:hAnsi="Arial" w:cs="Arial"/>
          <w:sz w:val="22"/>
          <w:lang w:val="en-GB"/>
        </w:rPr>
        <w:t xml:space="preserve">but </w:t>
      </w:r>
      <w:r w:rsidR="000F4B65" w:rsidRPr="004F73C6">
        <w:rPr>
          <w:rFonts w:ascii="Arial" w:eastAsia="Calibri" w:hAnsi="Arial" w:cs="Arial"/>
          <w:sz w:val="22"/>
          <w:lang w:val="en-GB"/>
        </w:rPr>
        <w:t xml:space="preserve">given estimates that these monitors reached 285,942 beneficiaries, the unit cost </w:t>
      </w:r>
      <w:r w:rsidR="0000107F" w:rsidRPr="004F73C6">
        <w:rPr>
          <w:rFonts w:ascii="Arial" w:eastAsia="Calibri" w:hAnsi="Arial" w:cs="Arial"/>
          <w:sz w:val="22"/>
          <w:lang w:val="en-GB"/>
        </w:rPr>
        <w:t xml:space="preserve">falls </w:t>
      </w:r>
      <w:r w:rsidR="000F4B65" w:rsidRPr="004F73C6">
        <w:rPr>
          <w:rFonts w:ascii="Arial" w:eastAsia="Calibri" w:hAnsi="Arial" w:cs="Arial"/>
          <w:sz w:val="22"/>
          <w:lang w:val="en-GB"/>
        </w:rPr>
        <w:t xml:space="preserve">to </w:t>
      </w:r>
      <w:r w:rsidR="00D17389" w:rsidRPr="004F73C6">
        <w:rPr>
          <w:rFonts w:ascii="Arial" w:eastAsia="Calibri" w:hAnsi="Arial" w:cs="Arial"/>
          <w:sz w:val="22"/>
          <w:lang w:val="en-GB"/>
        </w:rPr>
        <w:t xml:space="preserve">around </w:t>
      </w:r>
      <w:r w:rsidR="0000107F" w:rsidRPr="004F73C6">
        <w:rPr>
          <w:rFonts w:ascii="Arial" w:eastAsia="Calibri" w:hAnsi="Arial" w:cs="Arial"/>
          <w:sz w:val="22"/>
          <w:lang w:val="en-GB"/>
        </w:rPr>
        <w:t>EUR 0.1 per person.</w:t>
      </w:r>
      <w:r w:rsidR="00240823" w:rsidRPr="004F73C6">
        <w:rPr>
          <w:rFonts w:ascii="Arial" w:eastAsia="Calibri" w:hAnsi="Arial" w:cs="Arial"/>
          <w:sz w:val="22"/>
          <w:lang w:val="en-GB"/>
        </w:rPr>
        <w:t xml:space="preserve"> </w:t>
      </w:r>
    </w:p>
    <w:p w14:paraId="50359C83" w14:textId="79246971" w:rsidR="00DA341E" w:rsidRPr="004F73C6" w:rsidRDefault="001F3B60" w:rsidP="0067706D">
      <w:pPr>
        <w:tabs>
          <w:tab w:val="num" w:pos="540"/>
        </w:tabs>
        <w:jc w:val="both"/>
        <w:rPr>
          <w:rFonts w:ascii="Arial" w:eastAsia="Calibri" w:hAnsi="Arial" w:cs="Arial"/>
          <w:sz w:val="22"/>
          <w:lang w:val="en-GB"/>
        </w:rPr>
      </w:pPr>
      <w:r w:rsidRPr="004F73C6">
        <w:rPr>
          <w:rFonts w:ascii="Arial" w:eastAsia="Calibri" w:hAnsi="Arial" w:cs="Arial"/>
          <w:i/>
          <w:sz w:val="22"/>
          <w:lang w:val="en-GB"/>
        </w:rPr>
        <w:t xml:space="preserve">In </w:t>
      </w:r>
      <w:r w:rsidR="00C30693" w:rsidRPr="004F73C6">
        <w:rPr>
          <w:rFonts w:ascii="Arial" w:eastAsia="Calibri" w:hAnsi="Arial" w:cs="Arial"/>
          <w:i/>
          <w:sz w:val="22"/>
          <w:lang w:val="en-GB"/>
        </w:rPr>
        <w:t>Mozambique</w:t>
      </w:r>
      <w:r w:rsidRPr="004F73C6">
        <w:rPr>
          <w:rFonts w:ascii="Arial" w:eastAsia="Calibri" w:hAnsi="Arial" w:cs="Arial"/>
          <w:sz w:val="22"/>
          <w:lang w:val="en-GB"/>
        </w:rPr>
        <w:t xml:space="preserve">, </w:t>
      </w:r>
      <w:r w:rsidR="002F2C57" w:rsidRPr="004F73C6">
        <w:rPr>
          <w:rFonts w:ascii="Arial" w:eastAsia="Calibri" w:hAnsi="Arial" w:cs="Arial"/>
          <w:sz w:val="22"/>
          <w:lang w:val="en-GB"/>
        </w:rPr>
        <w:t xml:space="preserve">the review </w:t>
      </w:r>
      <w:r w:rsidR="00572D15" w:rsidRPr="004F73C6">
        <w:rPr>
          <w:rFonts w:ascii="Arial" w:eastAsia="Calibri" w:hAnsi="Arial" w:cs="Arial"/>
          <w:sz w:val="22"/>
          <w:lang w:val="en-GB"/>
        </w:rPr>
        <w:t>identified a</w:t>
      </w:r>
      <w:r w:rsidR="007A2E6E" w:rsidRPr="004F73C6">
        <w:rPr>
          <w:rFonts w:ascii="Arial" w:eastAsia="Calibri" w:hAnsi="Arial" w:cs="Arial"/>
          <w:sz w:val="22"/>
          <w:lang w:val="en-GB"/>
        </w:rPr>
        <w:t xml:space="preserve"> </w:t>
      </w:r>
      <w:r w:rsidR="00C6779E" w:rsidRPr="004F73C6">
        <w:rPr>
          <w:rFonts w:ascii="Arial" w:eastAsia="Calibri" w:hAnsi="Arial" w:cs="Arial"/>
          <w:sz w:val="22"/>
          <w:lang w:val="en-GB"/>
        </w:rPr>
        <w:t xml:space="preserve">budget </w:t>
      </w:r>
      <w:r w:rsidR="007A2E6E" w:rsidRPr="004F73C6">
        <w:rPr>
          <w:rFonts w:ascii="Arial" w:eastAsia="Calibri" w:hAnsi="Arial" w:cs="Arial"/>
          <w:sz w:val="22"/>
          <w:lang w:val="en-GB"/>
        </w:rPr>
        <w:t xml:space="preserve">allocation of EUR </w:t>
      </w:r>
      <w:r w:rsidR="00B53682" w:rsidRPr="004F73C6">
        <w:rPr>
          <w:rFonts w:ascii="Arial" w:eastAsia="Calibri" w:hAnsi="Arial" w:cs="Arial"/>
          <w:sz w:val="22"/>
          <w:lang w:val="en-GB"/>
        </w:rPr>
        <w:t>67,</w:t>
      </w:r>
      <w:r w:rsidR="002A5326" w:rsidRPr="004F73C6">
        <w:rPr>
          <w:rFonts w:ascii="Arial" w:eastAsia="Calibri" w:hAnsi="Arial" w:cs="Arial"/>
          <w:sz w:val="22"/>
          <w:lang w:val="en-GB"/>
        </w:rPr>
        <w:t xml:space="preserve">674 </w:t>
      </w:r>
      <w:r w:rsidR="00B53682" w:rsidRPr="004F73C6">
        <w:rPr>
          <w:rFonts w:ascii="Arial" w:eastAsia="Calibri" w:hAnsi="Arial" w:cs="Arial"/>
          <w:sz w:val="22"/>
          <w:lang w:val="en-GB"/>
        </w:rPr>
        <w:t xml:space="preserve">to </w:t>
      </w:r>
      <w:r w:rsidR="00981541" w:rsidRPr="004F73C6">
        <w:rPr>
          <w:rFonts w:ascii="Arial" w:eastAsia="Calibri" w:hAnsi="Arial" w:cs="Arial"/>
          <w:sz w:val="22"/>
          <w:lang w:val="en-GB"/>
        </w:rPr>
        <w:t xml:space="preserve">OPA </w:t>
      </w:r>
      <w:r w:rsidR="00B4747A" w:rsidRPr="004F73C6">
        <w:rPr>
          <w:rFonts w:ascii="Arial" w:eastAsia="Calibri" w:hAnsi="Arial" w:cs="Arial"/>
          <w:sz w:val="22"/>
          <w:lang w:val="en-GB"/>
        </w:rPr>
        <w:t>monitoring of the government cash transfer programme in six provinces</w:t>
      </w:r>
      <w:r w:rsidR="00C6779E" w:rsidRPr="004F73C6">
        <w:rPr>
          <w:rFonts w:ascii="Arial" w:eastAsia="Calibri" w:hAnsi="Arial" w:cs="Arial"/>
          <w:sz w:val="22"/>
          <w:lang w:val="en-GB"/>
        </w:rPr>
        <w:t xml:space="preserve"> (</w:t>
      </w:r>
      <w:r w:rsidR="00572D15" w:rsidRPr="004F73C6">
        <w:rPr>
          <w:rFonts w:ascii="Arial" w:eastAsia="Calibri" w:hAnsi="Arial" w:cs="Arial"/>
          <w:sz w:val="22"/>
          <w:lang w:val="en-GB"/>
        </w:rPr>
        <w:t>including</w:t>
      </w:r>
      <w:r w:rsidR="00C6779E" w:rsidRPr="004F73C6">
        <w:rPr>
          <w:rFonts w:ascii="Arial" w:eastAsia="Calibri" w:hAnsi="Arial" w:cs="Arial"/>
          <w:sz w:val="22"/>
          <w:lang w:val="en-GB"/>
        </w:rPr>
        <w:t xml:space="preserve"> 30% running costs)</w:t>
      </w:r>
      <w:r w:rsidR="00792507" w:rsidRPr="004F73C6">
        <w:rPr>
          <w:rFonts w:ascii="Arial" w:eastAsia="Calibri" w:hAnsi="Arial" w:cs="Arial"/>
          <w:sz w:val="22"/>
          <w:lang w:val="en-GB"/>
        </w:rPr>
        <w:t xml:space="preserve">. </w:t>
      </w:r>
      <w:r w:rsidR="00DA21ED" w:rsidRPr="004F73C6">
        <w:rPr>
          <w:rFonts w:ascii="Arial" w:eastAsia="Calibri" w:hAnsi="Arial" w:cs="Arial"/>
          <w:sz w:val="22"/>
          <w:lang w:val="en-GB"/>
        </w:rPr>
        <w:t>At the output level, the</w:t>
      </w:r>
      <w:r w:rsidR="00643562" w:rsidRPr="004F73C6">
        <w:rPr>
          <w:rFonts w:ascii="Arial" w:eastAsia="Calibri" w:hAnsi="Arial" w:cs="Arial"/>
          <w:sz w:val="22"/>
          <w:lang w:val="en-GB"/>
        </w:rPr>
        <w:t xml:space="preserve"> use of the budget mobilized </w:t>
      </w:r>
      <w:r w:rsidR="000A34EC" w:rsidRPr="004F73C6">
        <w:rPr>
          <w:rFonts w:ascii="Arial" w:eastAsia="Calibri" w:hAnsi="Arial" w:cs="Arial"/>
          <w:sz w:val="22"/>
          <w:lang w:val="en-GB"/>
        </w:rPr>
        <w:t xml:space="preserve">over 5,000 community monitors, government staff and older citizens in </w:t>
      </w:r>
      <w:r w:rsidR="00643562" w:rsidRPr="004F73C6">
        <w:rPr>
          <w:rFonts w:ascii="Arial" w:eastAsia="Calibri" w:hAnsi="Arial" w:cs="Arial"/>
          <w:sz w:val="22"/>
          <w:lang w:val="en-GB"/>
        </w:rPr>
        <w:t xml:space="preserve">data analysis and awareness </w:t>
      </w:r>
      <w:r w:rsidR="000A34EC" w:rsidRPr="004F73C6">
        <w:rPr>
          <w:rFonts w:ascii="Arial" w:eastAsia="Calibri" w:hAnsi="Arial" w:cs="Arial"/>
          <w:sz w:val="22"/>
          <w:lang w:val="en-GB"/>
        </w:rPr>
        <w:t xml:space="preserve">workshops </w:t>
      </w:r>
      <w:r w:rsidR="0011780D" w:rsidRPr="004F73C6">
        <w:rPr>
          <w:rFonts w:ascii="Arial" w:eastAsia="Calibri" w:hAnsi="Arial" w:cs="Arial"/>
          <w:sz w:val="22"/>
          <w:lang w:val="en-GB"/>
        </w:rPr>
        <w:t xml:space="preserve">at a unit cost of around EUR 12 per person. </w:t>
      </w:r>
    </w:p>
    <w:p w14:paraId="19DF5651" w14:textId="39C013A3" w:rsidR="001F3B60" w:rsidRPr="004F73C6" w:rsidRDefault="00E523ED"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Following the </w:t>
      </w:r>
      <w:r w:rsidR="00C30693" w:rsidRPr="004F73C6">
        <w:rPr>
          <w:rFonts w:ascii="Arial" w:eastAsia="Calibri" w:hAnsi="Arial" w:cs="Arial"/>
          <w:i/>
          <w:sz w:val="22"/>
          <w:lang w:val="en-GB"/>
        </w:rPr>
        <w:t>Mozambique</w:t>
      </w:r>
      <w:r w:rsidR="00CB699F" w:rsidRPr="004F73C6">
        <w:rPr>
          <w:rFonts w:ascii="Arial" w:eastAsia="Calibri" w:hAnsi="Arial" w:cs="Arial"/>
          <w:sz w:val="22"/>
          <w:lang w:val="en-GB"/>
        </w:rPr>
        <w:t xml:space="preserve"> </w:t>
      </w:r>
      <w:r w:rsidRPr="004F73C6">
        <w:rPr>
          <w:rFonts w:ascii="Arial" w:eastAsia="Calibri" w:hAnsi="Arial" w:cs="Arial"/>
          <w:sz w:val="22"/>
          <w:lang w:val="en-GB"/>
        </w:rPr>
        <w:t xml:space="preserve">intervention, an additional 35,488 older people registered for the </w:t>
      </w:r>
      <w:r w:rsidR="005C7E1B" w:rsidRPr="004F73C6">
        <w:rPr>
          <w:rFonts w:ascii="Arial" w:eastAsia="Calibri" w:hAnsi="Arial" w:cs="Arial"/>
          <w:sz w:val="22"/>
          <w:lang w:val="en-GB"/>
        </w:rPr>
        <w:t>c</w:t>
      </w:r>
      <w:r w:rsidR="00B0001A" w:rsidRPr="004F73C6">
        <w:rPr>
          <w:rFonts w:ascii="Arial" w:eastAsia="Calibri" w:hAnsi="Arial" w:cs="Arial"/>
          <w:sz w:val="22"/>
          <w:lang w:val="en-GB"/>
        </w:rPr>
        <w:t>ash transfer programme</w:t>
      </w:r>
      <w:r w:rsidR="00DA341E" w:rsidRPr="004F73C6">
        <w:rPr>
          <w:rFonts w:ascii="Arial" w:eastAsia="Calibri" w:hAnsi="Arial" w:cs="Arial"/>
          <w:sz w:val="22"/>
          <w:lang w:val="en-GB"/>
        </w:rPr>
        <w:t xml:space="preserve"> representing a total additional cash transfer </w:t>
      </w:r>
      <w:r w:rsidR="00A8488E" w:rsidRPr="004F73C6">
        <w:rPr>
          <w:rFonts w:ascii="Arial" w:eastAsia="Calibri" w:hAnsi="Arial" w:cs="Arial"/>
          <w:sz w:val="22"/>
          <w:lang w:val="en-GB"/>
        </w:rPr>
        <w:t xml:space="preserve">(per month) </w:t>
      </w:r>
      <w:r w:rsidR="00267533" w:rsidRPr="004F73C6">
        <w:rPr>
          <w:rFonts w:ascii="Arial" w:eastAsia="Calibri" w:hAnsi="Arial" w:cs="Arial"/>
          <w:sz w:val="22"/>
          <w:lang w:val="en-GB"/>
        </w:rPr>
        <w:t xml:space="preserve">to older people </w:t>
      </w:r>
      <w:r w:rsidR="00DA341E" w:rsidRPr="004F73C6">
        <w:rPr>
          <w:rFonts w:ascii="Arial" w:eastAsia="Calibri" w:hAnsi="Arial" w:cs="Arial"/>
          <w:sz w:val="22"/>
          <w:lang w:val="en-GB"/>
        </w:rPr>
        <w:t xml:space="preserve">of approximately EUR 227,123. </w:t>
      </w:r>
      <w:r w:rsidR="00A8488E" w:rsidRPr="004F73C6">
        <w:rPr>
          <w:rFonts w:ascii="Arial" w:eastAsia="Calibri" w:hAnsi="Arial" w:cs="Arial"/>
          <w:sz w:val="22"/>
          <w:lang w:val="en-GB"/>
        </w:rPr>
        <w:t xml:space="preserve">At the outcome level, the return </w:t>
      </w:r>
      <w:r w:rsidR="002A5326" w:rsidRPr="004F73C6">
        <w:rPr>
          <w:rFonts w:ascii="Arial" w:eastAsia="Calibri" w:hAnsi="Arial" w:cs="Arial"/>
          <w:sz w:val="22"/>
          <w:lang w:val="en-GB"/>
        </w:rPr>
        <w:t xml:space="preserve">on the </w:t>
      </w:r>
      <w:r w:rsidR="00A8488E" w:rsidRPr="004F73C6">
        <w:rPr>
          <w:rFonts w:ascii="Arial" w:eastAsia="Calibri" w:hAnsi="Arial" w:cs="Arial"/>
          <w:sz w:val="22"/>
          <w:lang w:val="en-GB"/>
        </w:rPr>
        <w:t>investment</w:t>
      </w:r>
      <w:r w:rsidR="002A5326" w:rsidRPr="004F73C6">
        <w:rPr>
          <w:rFonts w:ascii="Arial" w:eastAsia="Calibri" w:hAnsi="Arial" w:cs="Arial"/>
          <w:sz w:val="22"/>
          <w:lang w:val="en-GB"/>
        </w:rPr>
        <w:t xml:space="preserve"> of EUR 67,674</w:t>
      </w:r>
      <w:r w:rsidR="00A8488E" w:rsidRPr="004F73C6">
        <w:rPr>
          <w:rFonts w:ascii="Arial" w:eastAsia="Calibri" w:hAnsi="Arial" w:cs="Arial"/>
          <w:sz w:val="22"/>
          <w:lang w:val="en-GB"/>
        </w:rPr>
        <w:t xml:space="preserve"> can be calculated as </w:t>
      </w:r>
      <w:r w:rsidR="002A5326" w:rsidRPr="004F73C6">
        <w:rPr>
          <w:rFonts w:ascii="Arial" w:eastAsia="Calibri" w:hAnsi="Arial" w:cs="Arial"/>
          <w:sz w:val="22"/>
          <w:lang w:val="en-GB"/>
        </w:rPr>
        <w:t>236%.</w:t>
      </w:r>
      <w:r w:rsidR="00B1226E" w:rsidRPr="004F73C6">
        <w:rPr>
          <w:rFonts w:ascii="Arial" w:eastAsia="Calibri" w:hAnsi="Arial" w:cs="Arial"/>
          <w:sz w:val="22"/>
          <w:lang w:val="en-GB"/>
        </w:rPr>
        <w:t xml:space="preserve"> This seems a good return, especially given that</w:t>
      </w:r>
      <w:r w:rsidR="00B05C6C" w:rsidRPr="004F73C6">
        <w:rPr>
          <w:rFonts w:ascii="Arial" w:eastAsia="Calibri" w:hAnsi="Arial" w:cs="Arial"/>
          <w:sz w:val="22"/>
          <w:lang w:val="en-GB"/>
        </w:rPr>
        <w:t xml:space="preserve"> this </w:t>
      </w:r>
      <w:r w:rsidR="00267533" w:rsidRPr="004F73C6">
        <w:rPr>
          <w:rFonts w:ascii="Arial" w:eastAsia="Calibri" w:hAnsi="Arial" w:cs="Arial"/>
          <w:sz w:val="22"/>
          <w:lang w:val="en-GB"/>
        </w:rPr>
        <w:t xml:space="preserve">calculation </w:t>
      </w:r>
      <w:r w:rsidR="00643562" w:rsidRPr="004F73C6">
        <w:rPr>
          <w:rFonts w:ascii="Arial" w:eastAsia="Calibri" w:hAnsi="Arial" w:cs="Arial"/>
          <w:sz w:val="22"/>
          <w:lang w:val="en-GB"/>
        </w:rPr>
        <w:t xml:space="preserve">represents the initial cash transfer </w:t>
      </w:r>
      <w:r w:rsidR="00267533" w:rsidRPr="004F73C6">
        <w:rPr>
          <w:rFonts w:ascii="Arial" w:eastAsia="Calibri" w:hAnsi="Arial" w:cs="Arial"/>
          <w:sz w:val="22"/>
          <w:lang w:val="en-GB"/>
        </w:rPr>
        <w:t xml:space="preserve">alone, and that </w:t>
      </w:r>
      <w:r w:rsidR="0017789D" w:rsidRPr="004F73C6">
        <w:rPr>
          <w:rFonts w:ascii="Arial" w:eastAsia="Calibri" w:hAnsi="Arial" w:cs="Arial"/>
          <w:sz w:val="22"/>
          <w:lang w:val="en-GB"/>
        </w:rPr>
        <w:t xml:space="preserve">this </w:t>
      </w:r>
      <w:r w:rsidR="00643562" w:rsidRPr="004F73C6">
        <w:rPr>
          <w:rFonts w:ascii="Arial" w:eastAsia="Calibri" w:hAnsi="Arial" w:cs="Arial"/>
          <w:sz w:val="22"/>
          <w:lang w:val="en-GB"/>
        </w:rPr>
        <w:t xml:space="preserve">should </w:t>
      </w:r>
      <w:r w:rsidR="00B05C6C" w:rsidRPr="004F73C6">
        <w:rPr>
          <w:rFonts w:ascii="Arial" w:eastAsia="Calibri" w:hAnsi="Arial" w:cs="Arial"/>
          <w:sz w:val="22"/>
          <w:lang w:val="en-GB"/>
        </w:rPr>
        <w:t>continue</w:t>
      </w:r>
      <w:r w:rsidR="0017789D" w:rsidRPr="004F73C6">
        <w:rPr>
          <w:rFonts w:ascii="Arial" w:eastAsia="Calibri" w:hAnsi="Arial" w:cs="Arial"/>
          <w:sz w:val="22"/>
          <w:lang w:val="en-GB"/>
        </w:rPr>
        <w:t xml:space="preserve"> on a monthly basis</w:t>
      </w:r>
      <w:r w:rsidR="00B05C6C" w:rsidRPr="004F73C6">
        <w:rPr>
          <w:rFonts w:ascii="Arial" w:eastAsia="Calibri" w:hAnsi="Arial" w:cs="Arial"/>
          <w:sz w:val="22"/>
          <w:lang w:val="en-GB"/>
        </w:rPr>
        <w:t xml:space="preserve">. </w:t>
      </w:r>
      <w:r w:rsidR="00267533" w:rsidRPr="004F73C6">
        <w:rPr>
          <w:rFonts w:ascii="Arial" w:eastAsia="Calibri" w:hAnsi="Arial" w:cs="Arial"/>
          <w:sz w:val="22"/>
          <w:lang w:val="en-GB"/>
        </w:rPr>
        <w:t xml:space="preserve">What is not clear however, is </w:t>
      </w:r>
      <w:r w:rsidR="001B241C" w:rsidRPr="004F73C6">
        <w:rPr>
          <w:rFonts w:ascii="Arial" w:eastAsia="Calibri" w:hAnsi="Arial" w:cs="Arial"/>
          <w:sz w:val="22"/>
          <w:lang w:val="en-GB"/>
        </w:rPr>
        <w:t xml:space="preserve">the extent to which </w:t>
      </w:r>
      <w:r w:rsidR="00B05C6C" w:rsidRPr="004F73C6">
        <w:rPr>
          <w:rFonts w:ascii="Arial" w:eastAsia="Calibri" w:hAnsi="Arial" w:cs="Arial"/>
          <w:sz w:val="22"/>
          <w:lang w:val="en-GB"/>
        </w:rPr>
        <w:t xml:space="preserve">the additional </w:t>
      </w:r>
      <w:r w:rsidR="0020087C" w:rsidRPr="004F73C6">
        <w:rPr>
          <w:rFonts w:ascii="Arial" w:eastAsia="Calibri" w:hAnsi="Arial" w:cs="Arial"/>
          <w:sz w:val="22"/>
          <w:lang w:val="en-GB"/>
        </w:rPr>
        <w:t>registrations were due to the intervention of the AFFORD programme.</w:t>
      </w:r>
    </w:p>
    <w:p w14:paraId="6DF12379" w14:textId="241C77F2" w:rsidR="00441BE2" w:rsidRPr="004F73C6" w:rsidRDefault="0020087C" w:rsidP="0067706D">
      <w:pPr>
        <w:tabs>
          <w:tab w:val="num" w:pos="540"/>
        </w:tabs>
        <w:jc w:val="both"/>
        <w:rPr>
          <w:rFonts w:ascii="Arial" w:eastAsia="Calibri" w:hAnsi="Arial" w:cs="Arial"/>
          <w:sz w:val="22"/>
          <w:lang w:val="en-GB"/>
        </w:rPr>
      </w:pPr>
      <w:r w:rsidRPr="004F73C6">
        <w:rPr>
          <w:rFonts w:ascii="Arial" w:eastAsia="Calibri" w:hAnsi="Arial" w:cs="Arial"/>
          <w:sz w:val="22"/>
          <w:lang w:val="en-GB"/>
        </w:rPr>
        <w:t xml:space="preserve">On a more general level, it is likely that the </w:t>
      </w:r>
      <w:r w:rsidR="000D002E" w:rsidRPr="004F73C6">
        <w:rPr>
          <w:rFonts w:ascii="Arial" w:eastAsia="Calibri" w:hAnsi="Arial" w:cs="Arial"/>
          <w:sz w:val="22"/>
          <w:lang w:val="en-GB"/>
        </w:rPr>
        <w:t xml:space="preserve">partnership way of working </w:t>
      </w:r>
      <w:r w:rsidRPr="004F73C6">
        <w:rPr>
          <w:rFonts w:ascii="Arial" w:eastAsia="Calibri" w:hAnsi="Arial" w:cs="Arial"/>
          <w:sz w:val="22"/>
          <w:lang w:val="en-GB"/>
        </w:rPr>
        <w:t xml:space="preserve">pursued in each country </w:t>
      </w:r>
      <w:r w:rsidR="00B07A54" w:rsidRPr="004F73C6">
        <w:rPr>
          <w:rFonts w:ascii="Arial" w:eastAsia="Calibri" w:hAnsi="Arial" w:cs="Arial"/>
          <w:sz w:val="22"/>
          <w:lang w:val="en-GB"/>
        </w:rPr>
        <w:t>add</w:t>
      </w:r>
      <w:r w:rsidR="0017789D" w:rsidRPr="004F73C6">
        <w:rPr>
          <w:rFonts w:ascii="Arial" w:eastAsia="Calibri" w:hAnsi="Arial" w:cs="Arial"/>
          <w:sz w:val="22"/>
          <w:lang w:val="en-GB"/>
        </w:rPr>
        <w:t>s</w:t>
      </w:r>
      <w:r w:rsidR="00B07A54" w:rsidRPr="004F73C6">
        <w:rPr>
          <w:rFonts w:ascii="Arial" w:eastAsia="Calibri" w:hAnsi="Arial" w:cs="Arial"/>
          <w:sz w:val="22"/>
          <w:lang w:val="en-GB"/>
        </w:rPr>
        <w:t xml:space="preserve"> </w:t>
      </w:r>
      <w:r w:rsidR="000D002E" w:rsidRPr="004F73C6">
        <w:rPr>
          <w:rFonts w:ascii="Arial" w:eastAsia="Calibri" w:hAnsi="Arial" w:cs="Arial"/>
          <w:sz w:val="22"/>
          <w:lang w:val="en-GB"/>
        </w:rPr>
        <w:t xml:space="preserve">value in terms of </w:t>
      </w:r>
      <w:r w:rsidRPr="004F73C6">
        <w:rPr>
          <w:rFonts w:ascii="Arial" w:eastAsia="Calibri" w:hAnsi="Arial" w:cs="Arial"/>
          <w:sz w:val="22"/>
          <w:lang w:val="en-GB"/>
        </w:rPr>
        <w:t>its reach (ability to mobilize</w:t>
      </w:r>
      <w:r w:rsidR="00E80175" w:rsidRPr="004F73C6">
        <w:rPr>
          <w:rFonts w:ascii="Arial" w:eastAsia="Calibri" w:hAnsi="Arial" w:cs="Arial"/>
          <w:sz w:val="22"/>
          <w:lang w:val="en-GB"/>
        </w:rPr>
        <w:t xml:space="preserve"> older people</w:t>
      </w:r>
      <w:r w:rsidRPr="004F73C6">
        <w:rPr>
          <w:rFonts w:ascii="Arial" w:eastAsia="Calibri" w:hAnsi="Arial" w:cs="Arial"/>
          <w:sz w:val="22"/>
          <w:lang w:val="en-GB"/>
        </w:rPr>
        <w:t>)</w:t>
      </w:r>
      <w:r w:rsidR="00E80175" w:rsidRPr="004F73C6">
        <w:rPr>
          <w:rFonts w:ascii="Arial" w:eastAsia="Calibri" w:hAnsi="Arial" w:cs="Arial"/>
          <w:sz w:val="22"/>
          <w:lang w:val="en-GB"/>
        </w:rPr>
        <w:t xml:space="preserve">, and </w:t>
      </w:r>
      <w:r w:rsidR="00991281" w:rsidRPr="004F73C6">
        <w:rPr>
          <w:rFonts w:ascii="Arial" w:eastAsia="Calibri" w:hAnsi="Arial" w:cs="Arial"/>
          <w:sz w:val="22"/>
          <w:lang w:val="en-GB"/>
        </w:rPr>
        <w:t>influence (</w:t>
      </w:r>
      <w:r w:rsidR="00E80175" w:rsidRPr="004F73C6">
        <w:rPr>
          <w:rFonts w:ascii="Arial" w:eastAsia="Calibri" w:hAnsi="Arial" w:cs="Arial"/>
          <w:sz w:val="22"/>
          <w:lang w:val="en-GB"/>
        </w:rPr>
        <w:t>linking with government structures</w:t>
      </w:r>
      <w:r w:rsidR="00991281" w:rsidRPr="004F73C6">
        <w:rPr>
          <w:rFonts w:ascii="Arial" w:eastAsia="Calibri" w:hAnsi="Arial" w:cs="Arial"/>
          <w:sz w:val="22"/>
          <w:lang w:val="en-GB"/>
        </w:rPr>
        <w:t>). By working with established partnerships, AFFORD also builds</w:t>
      </w:r>
      <w:r w:rsidR="00E80175" w:rsidRPr="004F73C6">
        <w:rPr>
          <w:rFonts w:ascii="Arial" w:eastAsia="Calibri" w:hAnsi="Arial" w:cs="Arial"/>
          <w:sz w:val="22"/>
          <w:lang w:val="en-GB"/>
        </w:rPr>
        <w:t xml:space="preserve"> on </w:t>
      </w:r>
      <w:r w:rsidR="00441BE2" w:rsidRPr="004F73C6">
        <w:rPr>
          <w:rFonts w:ascii="Arial" w:eastAsia="Calibri" w:hAnsi="Arial" w:cs="Arial"/>
          <w:sz w:val="22"/>
          <w:lang w:val="en-GB"/>
        </w:rPr>
        <w:t xml:space="preserve">the foundation </w:t>
      </w:r>
      <w:r w:rsidR="00E80175" w:rsidRPr="004F73C6">
        <w:rPr>
          <w:rFonts w:ascii="Arial" w:eastAsia="Calibri" w:hAnsi="Arial" w:cs="Arial"/>
          <w:sz w:val="22"/>
          <w:lang w:val="en-GB"/>
        </w:rPr>
        <w:lastRenderedPageBreak/>
        <w:t>established by previous</w:t>
      </w:r>
      <w:r w:rsidR="00257C51" w:rsidRPr="004F73C6">
        <w:rPr>
          <w:rFonts w:ascii="Arial" w:eastAsia="Calibri" w:hAnsi="Arial" w:cs="Arial"/>
          <w:sz w:val="22"/>
          <w:lang w:val="en-GB"/>
        </w:rPr>
        <w:t xml:space="preserve"> </w:t>
      </w:r>
      <w:r w:rsidR="00991281" w:rsidRPr="004F73C6">
        <w:rPr>
          <w:rFonts w:ascii="Arial" w:eastAsia="Calibri" w:hAnsi="Arial" w:cs="Arial"/>
          <w:sz w:val="22"/>
          <w:lang w:val="en-GB"/>
        </w:rPr>
        <w:t xml:space="preserve">similar work </w:t>
      </w:r>
      <w:r w:rsidR="00257C51" w:rsidRPr="004F73C6">
        <w:rPr>
          <w:rFonts w:ascii="Arial" w:eastAsia="Calibri" w:hAnsi="Arial" w:cs="Arial"/>
          <w:sz w:val="22"/>
          <w:lang w:val="en-GB"/>
        </w:rPr>
        <w:t xml:space="preserve">and </w:t>
      </w:r>
      <w:r w:rsidR="00441BE2" w:rsidRPr="004F73C6">
        <w:rPr>
          <w:rFonts w:ascii="Arial" w:eastAsia="Calibri" w:hAnsi="Arial" w:cs="Arial"/>
          <w:sz w:val="22"/>
          <w:lang w:val="en-GB"/>
        </w:rPr>
        <w:t xml:space="preserve">from additional </w:t>
      </w:r>
      <w:r w:rsidR="00257C51" w:rsidRPr="004F73C6">
        <w:rPr>
          <w:rFonts w:ascii="Arial" w:eastAsia="Calibri" w:hAnsi="Arial" w:cs="Arial"/>
          <w:sz w:val="22"/>
          <w:lang w:val="en-GB"/>
        </w:rPr>
        <w:t xml:space="preserve">funding </w:t>
      </w:r>
      <w:r w:rsidR="00441BE2" w:rsidRPr="004F73C6">
        <w:rPr>
          <w:rFonts w:ascii="Arial" w:eastAsia="Calibri" w:hAnsi="Arial" w:cs="Arial"/>
          <w:sz w:val="22"/>
          <w:lang w:val="en-GB"/>
        </w:rPr>
        <w:t xml:space="preserve">leveraged from </w:t>
      </w:r>
      <w:r w:rsidR="00257C51" w:rsidRPr="004F73C6">
        <w:rPr>
          <w:rFonts w:ascii="Arial" w:eastAsia="Calibri" w:hAnsi="Arial" w:cs="Arial"/>
          <w:sz w:val="22"/>
          <w:lang w:val="en-GB"/>
        </w:rPr>
        <w:t xml:space="preserve">other donors </w:t>
      </w:r>
      <w:r w:rsidR="00E80175" w:rsidRPr="004F73C6">
        <w:rPr>
          <w:rFonts w:ascii="Arial" w:eastAsia="Calibri" w:hAnsi="Arial" w:cs="Arial"/>
          <w:sz w:val="22"/>
          <w:lang w:val="en-GB"/>
        </w:rPr>
        <w:t xml:space="preserve">(e.g. CORDAID in </w:t>
      </w:r>
      <w:r w:rsidR="00C30693" w:rsidRPr="004F73C6">
        <w:rPr>
          <w:rFonts w:ascii="Arial" w:eastAsia="Calibri" w:hAnsi="Arial" w:cs="Arial"/>
          <w:i/>
          <w:sz w:val="22"/>
          <w:lang w:val="en-GB"/>
        </w:rPr>
        <w:t>Uganda</w:t>
      </w:r>
      <w:r w:rsidR="00E80175" w:rsidRPr="004F73C6">
        <w:rPr>
          <w:rFonts w:ascii="Arial" w:eastAsia="Calibri" w:hAnsi="Arial" w:cs="Arial"/>
          <w:sz w:val="22"/>
          <w:lang w:val="en-GB"/>
        </w:rPr>
        <w:t xml:space="preserve"> and </w:t>
      </w:r>
      <w:r w:rsidR="00FA1D61" w:rsidRPr="004F73C6">
        <w:rPr>
          <w:rFonts w:ascii="Arial" w:eastAsia="Calibri" w:hAnsi="Arial" w:cs="Arial"/>
          <w:sz w:val="22"/>
          <w:lang w:val="en-GB"/>
        </w:rPr>
        <w:t xml:space="preserve">DG Murray Trust </w:t>
      </w:r>
      <w:r w:rsidR="00B07A54" w:rsidRPr="004F73C6">
        <w:rPr>
          <w:rFonts w:ascii="Arial" w:eastAsia="Calibri" w:hAnsi="Arial" w:cs="Arial"/>
          <w:sz w:val="22"/>
          <w:lang w:val="en-GB"/>
        </w:rPr>
        <w:t xml:space="preserve">in </w:t>
      </w:r>
      <w:r w:rsidR="00C30693" w:rsidRPr="004F73C6">
        <w:rPr>
          <w:rFonts w:ascii="Arial" w:eastAsia="Calibri" w:hAnsi="Arial" w:cs="Arial"/>
          <w:i/>
          <w:sz w:val="22"/>
          <w:lang w:val="en-GB"/>
        </w:rPr>
        <w:t>South Africa</w:t>
      </w:r>
      <w:r w:rsidR="00B07A54" w:rsidRPr="004F73C6">
        <w:rPr>
          <w:rFonts w:ascii="Arial" w:eastAsia="Calibri" w:hAnsi="Arial" w:cs="Arial"/>
          <w:sz w:val="22"/>
          <w:lang w:val="en-GB"/>
        </w:rPr>
        <w:t xml:space="preserve"> respectively). </w:t>
      </w:r>
    </w:p>
    <w:p w14:paraId="7F389442" w14:textId="6B13F1D9" w:rsidR="00C23E50" w:rsidRPr="004F73C6" w:rsidRDefault="00642408" w:rsidP="00666D18">
      <w:pPr>
        <w:tabs>
          <w:tab w:val="num" w:pos="540"/>
        </w:tabs>
        <w:jc w:val="both"/>
        <w:rPr>
          <w:rFonts w:ascii="Arial" w:eastAsia="Calibri" w:hAnsi="Arial" w:cs="Arial"/>
          <w:sz w:val="22"/>
          <w:lang w:val="en-GB"/>
        </w:rPr>
      </w:pPr>
      <w:r w:rsidRPr="004F73C6">
        <w:rPr>
          <w:rFonts w:ascii="Arial" w:eastAsia="Calibri" w:hAnsi="Arial" w:cs="Arial"/>
          <w:sz w:val="22"/>
          <w:lang w:val="en-GB"/>
        </w:rPr>
        <w:t>There were examples of d</w:t>
      </w:r>
      <w:r w:rsidR="00872C41" w:rsidRPr="004F73C6">
        <w:rPr>
          <w:rFonts w:ascii="Arial" w:eastAsia="Calibri" w:hAnsi="Arial" w:cs="Arial"/>
          <w:sz w:val="22"/>
          <w:lang w:val="en-GB"/>
        </w:rPr>
        <w:t xml:space="preserve">elays </w:t>
      </w:r>
      <w:r w:rsidRPr="004F73C6">
        <w:rPr>
          <w:rFonts w:ascii="Arial" w:eastAsia="Calibri" w:hAnsi="Arial" w:cs="Arial"/>
          <w:sz w:val="22"/>
          <w:lang w:val="en-GB"/>
        </w:rPr>
        <w:t xml:space="preserve">in implementation of some activities which involved government officials or were caused by heavy workloads of programme managers. </w:t>
      </w:r>
      <w:r w:rsidR="00806E84" w:rsidRPr="004F73C6">
        <w:rPr>
          <w:rFonts w:ascii="Arial" w:eastAsia="Calibri" w:hAnsi="Arial" w:cs="Arial"/>
          <w:sz w:val="22"/>
          <w:lang w:val="en-GB"/>
        </w:rPr>
        <w:t xml:space="preserve">For example, </w:t>
      </w:r>
      <w:r w:rsidR="002B33CD" w:rsidRPr="004F73C6">
        <w:rPr>
          <w:rFonts w:ascii="Arial" w:eastAsia="Calibri" w:hAnsi="Arial" w:cs="Arial"/>
          <w:sz w:val="22"/>
          <w:lang w:val="en-GB"/>
        </w:rPr>
        <w:t xml:space="preserve">in </w:t>
      </w:r>
      <w:r w:rsidR="00C30693" w:rsidRPr="004F73C6">
        <w:rPr>
          <w:rFonts w:ascii="Arial" w:eastAsia="Calibri" w:hAnsi="Arial" w:cs="Arial"/>
          <w:i/>
          <w:sz w:val="22"/>
          <w:lang w:val="en-GB"/>
        </w:rPr>
        <w:t>Tanzania</w:t>
      </w:r>
      <w:r w:rsidR="00682DB7" w:rsidRPr="004F73C6">
        <w:rPr>
          <w:rFonts w:ascii="Arial" w:eastAsia="Calibri" w:hAnsi="Arial" w:cs="Arial"/>
          <w:sz w:val="22"/>
          <w:lang w:val="en-GB"/>
        </w:rPr>
        <w:t>, the dissemination of SADC/EAC/AU protocols</w:t>
      </w:r>
      <w:r w:rsidR="002B33CD" w:rsidRPr="004F73C6">
        <w:rPr>
          <w:rFonts w:ascii="Arial" w:eastAsia="Calibri" w:hAnsi="Arial" w:cs="Arial"/>
          <w:sz w:val="22"/>
          <w:lang w:val="en-GB"/>
        </w:rPr>
        <w:t xml:space="preserve"> </w:t>
      </w:r>
      <w:proofErr w:type="gramStart"/>
      <w:r w:rsidR="002B33CD" w:rsidRPr="004F73C6">
        <w:rPr>
          <w:rFonts w:ascii="Arial" w:eastAsia="Calibri" w:hAnsi="Arial" w:cs="Arial"/>
          <w:sz w:val="22"/>
          <w:lang w:val="en-GB"/>
        </w:rPr>
        <w:t>were</w:t>
      </w:r>
      <w:proofErr w:type="gramEnd"/>
      <w:r w:rsidR="002B33CD" w:rsidRPr="004F73C6">
        <w:rPr>
          <w:rFonts w:ascii="Arial" w:eastAsia="Calibri" w:hAnsi="Arial" w:cs="Arial"/>
          <w:sz w:val="22"/>
          <w:lang w:val="en-GB"/>
        </w:rPr>
        <w:t xml:space="preserve"> postponed </w:t>
      </w:r>
      <w:r w:rsidR="00682DB7" w:rsidRPr="004F73C6">
        <w:rPr>
          <w:rFonts w:ascii="Arial" w:eastAsia="Calibri" w:hAnsi="Arial" w:cs="Arial"/>
          <w:sz w:val="22"/>
          <w:lang w:val="en-GB"/>
        </w:rPr>
        <w:t>because government officials</w:t>
      </w:r>
      <w:r w:rsidR="00793F72" w:rsidRPr="004F73C6">
        <w:rPr>
          <w:rFonts w:ascii="Arial" w:eastAsia="Calibri" w:hAnsi="Arial" w:cs="Arial"/>
          <w:sz w:val="22"/>
          <w:lang w:val="en-GB"/>
        </w:rPr>
        <w:t xml:space="preserve"> </w:t>
      </w:r>
      <w:r w:rsidR="00682DB7" w:rsidRPr="004F73C6">
        <w:rPr>
          <w:rFonts w:ascii="Arial" w:eastAsia="Calibri" w:hAnsi="Arial" w:cs="Arial"/>
          <w:sz w:val="22"/>
          <w:lang w:val="en-GB"/>
        </w:rPr>
        <w:t xml:space="preserve">were involved in other activities. </w:t>
      </w:r>
      <w:r w:rsidR="002B33CD" w:rsidRPr="004F73C6">
        <w:rPr>
          <w:rFonts w:ascii="Arial" w:eastAsia="Calibri" w:hAnsi="Arial" w:cs="Arial"/>
          <w:sz w:val="22"/>
          <w:lang w:val="en-GB"/>
        </w:rPr>
        <w:t>T</w:t>
      </w:r>
      <w:r w:rsidR="00793EFC" w:rsidRPr="004F73C6">
        <w:rPr>
          <w:rFonts w:ascii="Arial" w:eastAsia="Calibri" w:hAnsi="Arial" w:cs="Arial"/>
          <w:sz w:val="22"/>
          <w:lang w:val="en-GB"/>
        </w:rPr>
        <w:t xml:space="preserve">he review found suggestions that </w:t>
      </w:r>
      <w:r w:rsidR="0017789D" w:rsidRPr="004F73C6">
        <w:rPr>
          <w:rFonts w:ascii="Arial" w:eastAsia="Calibri" w:hAnsi="Arial" w:cs="Arial"/>
          <w:sz w:val="22"/>
          <w:lang w:val="en-GB"/>
        </w:rPr>
        <w:t xml:space="preserve">the </w:t>
      </w:r>
      <w:r w:rsidR="004D090A" w:rsidRPr="004F73C6">
        <w:rPr>
          <w:rFonts w:ascii="Arial" w:eastAsia="Calibri" w:hAnsi="Arial" w:cs="Arial"/>
          <w:sz w:val="22"/>
          <w:lang w:val="en-GB"/>
        </w:rPr>
        <w:t xml:space="preserve">network </w:t>
      </w:r>
      <w:r w:rsidR="0066177C" w:rsidRPr="004F73C6">
        <w:rPr>
          <w:rFonts w:ascii="Arial" w:eastAsia="Calibri" w:hAnsi="Arial" w:cs="Arial"/>
          <w:sz w:val="22"/>
          <w:lang w:val="en-GB"/>
        </w:rPr>
        <w:t xml:space="preserve">model </w:t>
      </w:r>
      <w:r w:rsidR="000A2B5A" w:rsidRPr="004F73C6">
        <w:rPr>
          <w:rFonts w:ascii="Arial" w:eastAsia="Calibri" w:hAnsi="Arial" w:cs="Arial"/>
          <w:sz w:val="22"/>
          <w:lang w:val="en-GB"/>
        </w:rPr>
        <w:t xml:space="preserve">used in </w:t>
      </w:r>
      <w:r w:rsidR="00C30693" w:rsidRPr="004F73C6">
        <w:rPr>
          <w:rFonts w:ascii="Arial" w:eastAsia="Calibri" w:hAnsi="Arial" w:cs="Arial"/>
          <w:i/>
          <w:sz w:val="22"/>
          <w:lang w:val="en-GB"/>
        </w:rPr>
        <w:t>South Africa</w:t>
      </w:r>
      <w:r w:rsidR="000A2B5A" w:rsidRPr="004F73C6">
        <w:rPr>
          <w:rFonts w:ascii="Arial" w:eastAsia="Calibri" w:hAnsi="Arial" w:cs="Arial"/>
          <w:sz w:val="22"/>
          <w:lang w:val="en-GB"/>
        </w:rPr>
        <w:t xml:space="preserve"> allows less control for HelpAge in terms of the direction and timing of work, </w:t>
      </w:r>
      <w:r w:rsidR="00730840" w:rsidRPr="004F73C6">
        <w:rPr>
          <w:rFonts w:ascii="Arial" w:eastAsia="Calibri" w:hAnsi="Arial" w:cs="Arial"/>
          <w:sz w:val="22"/>
          <w:lang w:val="en-GB"/>
        </w:rPr>
        <w:t>compared to a regular implementation model</w:t>
      </w:r>
      <w:r w:rsidR="00807DB4" w:rsidRPr="004F73C6">
        <w:rPr>
          <w:rFonts w:ascii="Arial" w:eastAsia="Calibri" w:hAnsi="Arial" w:cs="Arial"/>
          <w:sz w:val="22"/>
          <w:lang w:val="en-GB"/>
        </w:rPr>
        <w:t xml:space="preserve"> based partnership contracts alone</w:t>
      </w:r>
      <w:r w:rsidR="00730840" w:rsidRPr="004F73C6">
        <w:rPr>
          <w:rFonts w:ascii="Arial" w:eastAsia="Calibri" w:hAnsi="Arial" w:cs="Arial"/>
          <w:sz w:val="22"/>
          <w:lang w:val="en-GB"/>
        </w:rPr>
        <w:t xml:space="preserve">, </w:t>
      </w:r>
      <w:r w:rsidR="000A2B5A" w:rsidRPr="004F73C6">
        <w:rPr>
          <w:rFonts w:ascii="Arial" w:eastAsia="Calibri" w:hAnsi="Arial" w:cs="Arial"/>
          <w:sz w:val="22"/>
          <w:lang w:val="en-GB"/>
        </w:rPr>
        <w:t xml:space="preserve">even though </w:t>
      </w:r>
      <w:r w:rsidR="002B33CD" w:rsidRPr="004F73C6">
        <w:rPr>
          <w:rFonts w:ascii="Arial" w:eastAsia="Calibri" w:hAnsi="Arial" w:cs="Arial"/>
          <w:sz w:val="22"/>
          <w:lang w:val="en-GB"/>
        </w:rPr>
        <w:t xml:space="preserve">this </w:t>
      </w:r>
      <w:r w:rsidR="00730840" w:rsidRPr="004F73C6">
        <w:rPr>
          <w:rFonts w:ascii="Arial" w:eastAsia="Calibri" w:hAnsi="Arial" w:cs="Arial"/>
          <w:sz w:val="22"/>
          <w:lang w:val="en-GB"/>
        </w:rPr>
        <w:t xml:space="preserve">provides </w:t>
      </w:r>
      <w:r w:rsidR="000A2B5A" w:rsidRPr="004F73C6">
        <w:rPr>
          <w:rFonts w:ascii="Arial" w:eastAsia="Calibri" w:hAnsi="Arial" w:cs="Arial"/>
          <w:sz w:val="22"/>
          <w:lang w:val="en-GB"/>
        </w:rPr>
        <w:t xml:space="preserve">a potential for </w:t>
      </w:r>
      <w:r w:rsidR="00436109" w:rsidRPr="004F73C6">
        <w:rPr>
          <w:rFonts w:ascii="Arial" w:eastAsia="Calibri" w:hAnsi="Arial" w:cs="Arial"/>
          <w:sz w:val="22"/>
          <w:lang w:val="en-GB"/>
        </w:rPr>
        <w:t xml:space="preserve">greater </w:t>
      </w:r>
      <w:r w:rsidR="000A2B5A" w:rsidRPr="004F73C6">
        <w:rPr>
          <w:rFonts w:ascii="Arial" w:eastAsia="Calibri" w:hAnsi="Arial" w:cs="Arial"/>
          <w:sz w:val="22"/>
          <w:lang w:val="en-GB"/>
        </w:rPr>
        <w:t xml:space="preserve">sustainability </w:t>
      </w:r>
      <w:r w:rsidR="00436109" w:rsidRPr="004F73C6">
        <w:rPr>
          <w:rFonts w:ascii="Arial" w:eastAsia="Calibri" w:hAnsi="Arial" w:cs="Arial"/>
          <w:sz w:val="22"/>
          <w:lang w:val="en-GB"/>
        </w:rPr>
        <w:t xml:space="preserve">and reach </w:t>
      </w:r>
      <w:r w:rsidR="000A2B5A" w:rsidRPr="004F73C6">
        <w:rPr>
          <w:rFonts w:ascii="Arial" w:eastAsia="Calibri" w:hAnsi="Arial" w:cs="Arial"/>
          <w:sz w:val="22"/>
          <w:lang w:val="en-GB"/>
        </w:rPr>
        <w:t xml:space="preserve">due to </w:t>
      </w:r>
      <w:r w:rsidR="00436109" w:rsidRPr="004F73C6">
        <w:rPr>
          <w:rFonts w:ascii="Arial" w:eastAsia="Calibri" w:hAnsi="Arial" w:cs="Arial"/>
          <w:sz w:val="22"/>
          <w:lang w:val="en-GB"/>
        </w:rPr>
        <w:t xml:space="preserve">the </w:t>
      </w:r>
      <w:r w:rsidR="000A2B5A" w:rsidRPr="004F73C6">
        <w:rPr>
          <w:rFonts w:ascii="Arial" w:eastAsia="Calibri" w:hAnsi="Arial" w:cs="Arial"/>
          <w:sz w:val="22"/>
          <w:lang w:val="en-GB"/>
        </w:rPr>
        <w:t xml:space="preserve">strong </w:t>
      </w:r>
      <w:r w:rsidR="0066177C" w:rsidRPr="004F73C6">
        <w:rPr>
          <w:rFonts w:ascii="Arial" w:eastAsia="Calibri" w:hAnsi="Arial" w:cs="Arial"/>
          <w:sz w:val="22"/>
          <w:lang w:val="en-GB"/>
        </w:rPr>
        <w:t xml:space="preserve">engagement with </w:t>
      </w:r>
      <w:r w:rsidR="00666D18" w:rsidRPr="004F73C6">
        <w:rPr>
          <w:rFonts w:ascii="Arial" w:eastAsia="Calibri" w:hAnsi="Arial" w:cs="Arial"/>
          <w:sz w:val="22"/>
          <w:lang w:val="en-GB"/>
        </w:rPr>
        <w:t xml:space="preserve">government and civil society. In </w:t>
      </w:r>
      <w:r w:rsidR="00C30693" w:rsidRPr="004F73C6">
        <w:rPr>
          <w:rFonts w:ascii="Arial" w:eastAsia="Calibri" w:hAnsi="Arial" w:cs="Arial"/>
          <w:i/>
          <w:sz w:val="22"/>
          <w:lang w:val="en-GB"/>
        </w:rPr>
        <w:t>Uganda</w:t>
      </w:r>
      <w:r w:rsidR="0066177C" w:rsidRPr="004F73C6">
        <w:rPr>
          <w:rFonts w:ascii="Arial" w:eastAsia="Calibri" w:hAnsi="Arial" w:cs="Arial"/>
          <w:sz w:val="22"/>
          <w:lang w:val="en-GB"/>
        </w:rPr>
        <w:t xml:space="preserve">, there were severe delays in implementation during </w:t>
      </w:r>
      <w:r w:rsidR="00436109" w:rsidRPr="004F73C6">
        <w:rPr>
          <w:rFonts w:ascii="Arial" w:eastAsia="Calibri" w:hAnsi="Arial" w:cs="Arial"/>
          <w:sz w:val="22"/>
          <w:lang w:val="en-GB"/>
        </w:rPr>
        <w:t>the first year of the programme, due in part to changes in staff and partners.</w:t>
      </w:r>
    </w:p>
    <w:p w14:paraId="62CCF3D2" w14:textId="6DB83799" w:rsidR="0012504B" w:rsidRPr="004F73C6" w:rsidRDefault="00F67A60" w:rsidP="003C2E5A">
      <w:pPr>
        <w:pStyle w:val="Heading1"/>
        <w:rPr>
          <w:lang w:val="en-GB"/>
        </w:rPr>
      </w:pPr>
      <w:bookmarkStart w:id="5" w:name="_Toc402974750"/>
      <w:r w:rsidRPr="004F73C6">
        <w:rPr>
          <w:lang w:val="en-GB"/>
        </w:rPr>
        <w:t xml:space="preserve">Inclusion: gender and </w:t>
      </w:r>
      <w:r w:rsidR="0012504B" w:rsidRPr="004F73C6">
        <w:rPr>
          <w:lang w:val="en-GB"/>
        </w:rPr>
        <w:t>equity</w:t>
      </w:r>
      <w:bookmarkEnd w:id="5"/>
      <w:r w:rsidR="0012504B" w:rsidRPr="004F73C6">
        <w:rPr>
          <w:lang w:val="en-GB"/>
        </w:rPr>
        <w:t xml:space="preserve"> </w:t>
      </w:r>
    </w:p>
    <w:p w14:paraId="4790C244" w14:textId="6F0C89DD" w:rsidR="00313C76" w:rsidRPr="004F73C6" w:rsidRDefault="00090BB3" w:rsidP="00F50FEB">
      <w:pPr>
        <w:jc w:val="both"/>
        <w:rPr>
          <w:rFonts w:ascii="Arial" w:hAnsi="Arial" w:cs="Arial"/>
          <w:sz w:val="22"/>
          <w:lang w:val="en-GB"/>
        </w:rPr>
      </w:pPr>
      <w:r w:rsidRPr="004F73C6">
        <w:rPr>
          <w:rFonts w:ascii="Arial" w:hAnsi="Arial" w:cs="Arial"/>
          <w:sz w:val="22"/>
          <w:lang w:val="en-GB"/>
        </w:rPr>
        <w:t xml:space="preserve">AFFORD </w:t>
      </w:r>
      <w:r w:rsidR="0000216B" w:rsidRPr="004F73C6">
        <w:rPr>
          <w:rFonts w:ascii="Arial" w:hAnsi="Arial" w:cs="Arial"/>
          <w:sz w:val="22"/>
          <w:lang w:val="en-GB"/>
        </w:rPr>
        <w:t xml:space="preserve">places focus on </w:t>
      </w:r>
      <w:r w:rsidRPr="004F73C6">
        <w:rPr>
          <w:rFonts w:ascii="Arial" w:hAnsi="Arial" w:cs="Arial"/>
          <w:sz w:val="22"/>
          <w:lang w:val="en-GB"/>
        </w:rPr>
        <w:t xml:space="preserve">activities </w:t>
      </w:r>
      <w:r w:rsidR="0000216B" w:rsidRPr="004F73C6">
        <w:rPr>
          <w:rFonts w:ascii="Arial" w:hAnsi="Arial" w:cs="Arial"/>
          <w:sz w:val="22"/>
          <w:lang w:val="en-GB"/>
        </w:rPr>
        <w:t xml:space="preserve">to support </w:t>
      </w:r>
      <w:r w:rsidRPr="004F73C6">
        <w:rPr>
          <w:rFonts w:ascii="Arial" w:hAnsi="Arial" w:cs="Arial"/>
          <w:sz w:val="22"/>
          <w:lang w:val="en-GB"/>
        </w:rPr>
        <w:t xml:space="preserve">a </w:t>
      </w:r>
      <w:r w:rsidR="004A39AB" w:rsidRPr="004F73C6">
        <w:rPr>
          <w:rFonts w:ascii="Arial" w:hAnsi="Arial" w:cs="Arial"/>
          <w:sz w:val="22"/>
          <w:lang w:val="en-GB"/>
        </w:rPr>
        <w:t xml:space="preserve">group which at aggregate level </w:t>
      </w:r>
      <w:r w:rsidR="00F44AE4" w:rsidRPr="004F73C6">
        <w:rPr>
          <w:rFonts w:ascii="Arial" w:hAnsi="Arial" w:cs="Arial"/>
          <w:sz w:val="22"/>
          <w:lang w:val="en-GB"/>
        </w:rPr>
        <w:t xml:space="preserve">can </w:t>
      </w:r>
      <w:r w:rsidR="004A39AB" w:rsidRPr="004F73C6">
        <w:rPr>
          <w:rFonts w:ascii="Arial" w:hAnsi="Arial" w:cs="Arial"/>
          <w:sz w:val="22"/>
          <w:lang w:val="en-GB"/>
        </w:rPr>
        <w:t xml:space="preserve">be identified as </w:t>
      </w:r>
      <w:r w:rsidR="00A169CC" w:rsidRPr="004F73C6">
        <w:rPr>
          <w:rFonts w:ascii="Arial" w:hAnsi="Arial" w:cs="Arial"/>
          <w:sz w:val="22"/>
          <w:lang w:val="en-GB"/>
        </w:rPr>
        <w:t xml:space="preserve">vulnerable or </w:t>
      </w:r>
      <w:r w:rsidR="004A39AB" w:rsidRPr="004F73C6">
        <w:rPr>
          <w:rFonts w:ascii="Arial" w:hAnsi="Arial" w:cs="Arial"/>
          <w:sz w:val="22"/>
          <w:lang w:val="en-GB"/>
        </w:rPr>
        <w:t>marginalized</w:t>
      </w:r>
      <w:r w:rsidR="00B96FF3" w:rsidRPr="004F73C6">
        <w:rPr>
          <w:rFonts w:ascii="Arial" w:hAnsi="Arial" w:cs="Arial"/>
          <w:sz w:val="22"/>
          <w:lang w:val="en-GB"/>
        </w:rPr>
        <w:t xml:space="preserve">. However, </w:t>
      </w:r>
      <w:r w:rsidR="004A39AB" w:rsidRPr="004F73C6">
        <w:rPr>
          <w:rFonts w:ascii="Arial" w:hAnsi="Arial" w:cs="Arial"/>
          <w:sz w:val="22"/>
          <w:lang w:val="en-GB"/>
        </w:rPr>
        <w:t xml:space="preserve">there </w:t>
      </w:r>
      <w:r w:rsidRPr="004F73C6">
        <w:rPr>
          <w:rFonts w:ascii="Arial" w:hAnsi="Arial" w:cs="Arial"/>
          <w:sz w:val="22"/>
          <w:lang w:val="en-GB"/>
        </w:rPr>
        <w:t xml:space="preserve">is little evidence of the programme </w:t>
      </w:r>
      <w:r w:rsidR="00A169CC" w:rsidRPr="004F73C6">
        <w:rPr>
          <w:rFonts w:ascii="Arial" w:hAnsi="Arial" w:cs="Arial"/>
          <w:sz w:val="22"/>
          <w:lang w:val="en-GB"/>
        </w:rPr>
        <w:t>addressing</w:t>
      </w:r>
      <w:r w:rsidRPr="004F73C6">
        <w:rPr>
          <w:rFonts w:ascii="Arial" w:hAnsi="Arial" w:cs="Arial"/>
          <w:sz w:val="22"/>
          <w:lang w:val="en-GB"/>
        </w:rPr>
        <w:t xml:space="preserve"> gender or </w:t>
      </w:r>
      <w:r w:rsidR="00C90FD7" w:rsidRPr="004F73C6">
        <w:rPr>
          <w:rFonts w:ascii="Arial" w:hAnsi="Arial" w:cs="Arial"/>
          <w:sz w:val="22"/>
          <w:lang w:val="en-GB"/>
        </w:rPr>
        <w:t xml:space="preserve">other </w:t>
      </w:r>
      <w:r w:rsidRPr="004F73C6">
        <w:rPr>
          <w:rFonts w:ascii="Arial" w:hAnsi="Arial" w:cs="Arial"/>
          <w:sz w:val="22"/>
          <w:lang w:val="en-GB"/>
        </w:rPr>
        <w:t>equity issues</w:t>
      </w:r>
      <w:r w:rsidR="00A169CC" w:rsidRPr="004F73C6">
        <w:rPr>
          <w:rFonts w:ascii="Arial" w:hAnsi="Arial" w:cs="Arial"/>
          <w:sz w:val="22"/>
          <w:lang w:val="en-GB"/>
        </w:rPr>
        <w:t xml:space="preserve"> systematically</w:t>
      </w:r>
      <w:r w:rsidRPr="004F73C6">
        <w:rPr>
          <w:rFonts w:ascii="Arial" w:hAnsi="Arial" w:cs="Arial"/>
          <w:sz w:val="22"/>
          <w:lang w:val="en-GB"/>
        </w:rPr>
        <w:t xml:space="preserve">, either in analysis or reporting. </w:t>
      </w:r>
      <w:r w:rsidR="00313C76" w:rsidRPr="004F73C6">
        <w:rPr>
          <w:rFonts w:ascii="Arial" w:hAnsi="Arial" w:cs="Arial"/>
          <w:sz w:val="22"/>
          <w:lang w:val="en-GB"/>
        </w:rPr>
        <w:t xml:space="preserve">The results framework </w:t>
      </w:r>
      <w:r w:rsidR="00F50FEB" w:rsidRPr="004F73C6">
        <w:rPr>
          <w:rFonts w:ascii="Arial" w:hAnsi="Arial" w:cs="Arial"/>
          <w:sz w:val="22"/>
          <w:lang w:val="en-GB"/>
        </w:rPr>
        <w:t xml:space="preserve">used at the time of the review </w:t>
      </w:r>
      <w:r w:rsidR="00313C76" w:rsidRPr="004F73C6">
        <w:rPr>
          <w:rFonts w:ascii="Arial" w:hAnsi="Arial" w:cs="Arial"/>
          <w:sz w:val="22"/>
          <w:lang w:val="en-GB"/>
        </w:rPr>
        <w:t>includes a column headed: ‘</w:t>
      </w:r>
      <w:r w:rsidR="00313C76" w:rsidRPr="004F73C6">
        <w:rPr>
          <w:rFonts w:ascii="Arial" w:hAnsi="Arial" w:cs="Arial"/>
          <w:i/>
          <w:sz w:val="22"/>
          <w:lang w:val="en-GB"/>
        </w:rPr>
        <w:t>Equity value of indicator (how it should be disaggregated)</w:t>
      </w:r>
      <w:r w:rsidR="00313C76" w:rsidRPr="004F73C6">
        <w:rPr>
          <w:rFonts w:ascii="Arial" w:hAnsi="Arial" w:cs="Arial"/>
          <w:sz w:val="22"/>
          <w:lang w:val="en-GB"/>
        </w:rPr>
        <w:t xml:space="preserve">’ which </w:t>
      </w:r>
      <w:r w:rsidR="00CB1897" w:rsidRPr="004F73C6">
        <w:rPr>
          <w:rFonts w:ascii="Arial" w:hAnsi="Arial" w:cs="Arial"/>
          <w:sz w:val="22"/>
          <w:lang w:val="en-GB"/>
        </w:rPr>
        <w:t xml:space="preserve">requires </w:t>
      </w:r>
      <w:r w:rsidR="00313C76" w:rsidRPr="004F73C6">
        <w:rPr>
          <w:rFonts w:ascii="Arial" w:hAnsi="Arial" w:cs="Arial"/>
          <w:sz w:val="22"/>
          <w:lang w:val="en-GB"/>
        </w:rPr>
        <w:t>disaggregation by sex</w:t>
      </w:r>
      <w:r w:rsidR="00CB1897" w:rsidRPr="004F73C6">
        <w:rPr>
          <w:rFonts w:ascii="Arial" w:hAnsi="Arial" w:cs="Arial"/>
          <w:sz w:val="22"/>
          <w:lang w:val="en-GB"/>
        </w:rPr>
        <w:t xml:space="preserve"> and </w:t>
      </w:r>
      <w:r w:rsidR="00313C76" w:rsidRPr="004F73C6">
        <w:rPr>
          <w:rFonts w:ascii="Arial" w:hAnsi="Arial" w:cs="Arial"/>
          <w:sz w:val="22"/>
          <w:lang w:val="en-GB"/>
        </w:rPr>
        <w:t xml:space="preserve">age </w:t>
      </w:r>
      <w:r w:rsidR="00CB1897" w:rsidRPr="004F73C6">
        <w:rPr>
          <w:rFonts w:ascii="Arial" w:hAnsi="Arial" w:cs="Arial"/>
          <w:sz w:val="22"/>
          <w:lang w:val="en-GB"/>
        </w:rPr>
        <w:t>(</w:t>
      </w:r>
      <w:r w:rsidR="00313C76" w:rsidRPr="004F73C6">
        <w:rPr>
          <w:rFonts w:ascii="Arial" w:hAnsi="Arial" w:cs="Arial"/>
          <w:sz w:val="22"/>
          <w:lang w:val="en-GB"/>
        </w:rPr>
        <w:t>and rural vs urban for some indicators</w:t>
      </w:r>
      <w:r w:rsidR="00CB1897" w:rsidRPr="004F73C6">
        <w:rPr>
          <w:rFonts w:ascii="Arial" w:hAnsi="Arial" w:cs="Arial"/>
          <w:sz w:val="22"/>
          <w:lang w:val="en-GB"/>
        </w:rPr>
        <w:t>)</w:t>
      </w:r>
      <w:r w:rsidR="00313C76" w:rsidRPr="004F73C6">
        <w:rPr>
          <w:rFonts w:ascii="Arial" w:hAnsi="Arial" w:cs="Arial"/>
          <w:sz w:val="22"/>
          <w:lang w:val="en-GB"/>
        </w:rPr>
        <w:t xml:space="preserve">, but </w:t>
      </w:r>
      <w:r w:rsidR="00097A93" w:rsidRPr="004F73C6">
        <w:rPr>
          <w:rFonts w:ascii="Arial" w:hAnsi="Arial" w:cs="Arial"/>
          <w:sz w:val="22"/>
          <w:lang w:val="en-GB"/>
        </w:rPr>
        <w:t xml:space="preserve">this </w:t>
      </w:r>
      <w:r w:rsidR="00B96FF3" w:rsidRPr="004F73C6">
        <w:rPr>
          <w:rFonts w:ascii="Arial" w:hAnsi="Arial" w:cs="Arial"/>
          <w:sz w:val="22"/>
          <w:lang w:val="en-GB"/>
        </w:rPr>
        <w:t xml:space="preserve">has </w:t>
      </w:r>
      <w:r w:rsidR="00097A93" w:rsidRPr="004F73C6">
        <w:rPr>
          <w:rFonts w:ascii="Arial" w:hAnsi="Arial" w:cs="Arial"/>
          <w:sz w:val="22"/>
          <w:lang w:val="en-GB"/>
        </w:rPr>
        <w:t xml:space="preserve">not always </w:t>
      </w:r>
      <w:r w:rsidR="00B96FF3" w:rsidRPr="004F73C6">
        <w:rPr>
          <w:rFonts w:ascii="Arial" w:hAnsi="Arial" w:cs="Arial"/>
          <w:sz w:val="22"/>
          <w:lang w:val="en-GB"/>
        </w:rPr>
        <w:t xml:space="preserve">been complied with </w:t>
      </w:r>
      <w:r w:rsidR="00F50FEB" w:rsidRPr="004F73C6">
        <w:rPr>
          <w:rFonts w:ascii="Arial" w:hAnsi="Arial" w:cs="Arial"/>
          <w:sz w:val="22"/>
          <w:lang w:val="en-GB"/>
        </w:rPr>
        <w:t xml:space="preserve">– </w:t>
      </w:r>
      <w:r w:rsidR="00CB1897" w:rsidRPr="004F73C6">
        <w:rPr>
          <w:rFonts w:ascii="Arial" w:hAnsi="Arial" w:cs="Arial"/>
          <w:sz w:val="22"/>
          <w:lang w:val="en-GB"/>
        </w:rPr>
        <w:t xml:space="preserve">and it is not clear how the learning from these is being </w:t>
      </w:r>
      <w:r w:rsidR="00474AC3" w:rsidRPr="004F73C6">
        <w:rPr>
          <w:rFonts w:ascii="Arial" w:hAnsi="Arial" w:cs="Arial"/>
          <w:sz w:val="22"/>
          <w:lang w:val="en-GB"/>
        </w:rPr>
        <w:t>used</w:t>
      </w:r>
      <w:r w:rsidR="00CB1897" w:rsidRPr="004F73C6">
        <w:rPr>
          <w:rFonts w:ascii="Arial" w:hAnsi="Arial" w:cs="Arial"/>
          <w:sz w:val="22"/>
          <w:lang w:val="en-GB"/>
        </w:rPr>
        <w:t xml:space="preserve">. </w:t>
      </w:r>
    </w:p>
    <w:p w14:paraId="09923F13" w14:textId="122BDEBD" w:rsidR="00DC0502" w:rsidRPr="004F73C6" w:rsidRDefault="00CA652E" w:rsidP="00097A93">
      <w:pPr>
        <w:jc w:val="both"/>
        <w:rPr>
          <w:rFonts w:ascii="Arial" w:hAnsi="Arial" w:cs="Arial"/>
          <w:sz w:val="22"/>
          <w:lang w:val="en-GB"/>
        </w:rPr>
      </w:pPr>
      <w:r w:rsidRPr="004F73C6">
        <w:rPr>
          <w:rFonts w:ascii="Arial" w:hAnsi="Arial" w:cs="Arial"/>
          <w:i/>
          <w:sz w:val="22"/>
          <w:lang w:val="en-GB"/>
        </w:rPr>
        <w:t xml:space="preserve">In </w:t>
      </w:r>
      <w:r w:rsidR="00C30693" w:rsidRPr="004F73C6">
        <w:rPr>
          <w:rFonts w:ascii="Arial" w:hAnsi="Arial" w:cs="Arial"/>
          <w:i/>
          <w:sz w:val="22"/>
          <w:lang w:val="en-GB"/>
        </w:rPr>
        <w:t>Uganda</w:t>
      </w:r>
      <w:r w:rsidRPr="004F73C6">
        <w:rPr>
          <w:rFonts w:ascii="Arial" w:hAnsi="Arial" w:cs="Arial"/>
          <w:i/>
          <w:sz w:val="22"/>
          <w:lang w:val="en-GB"/>
        </w:rPr>
        <w:t xml:space="preserve"> and </w:t>
      </w:r>
      <w:r w:rsidR="00C30693" w:rsidRPr="004F73C6">
        <w:rPr>
          <w:rFonts w:ascii="Arial" w:hAnsi="Arial" w:cs="Arial"/>
          <w:i/>
          <w:sz w:val="22"/>
          <w:lang w:val="en-GB"/>
        </w:rPr>
        <w:t>Mozambique</w:t>
      </w:r>
      <w:r w:rsidRPr="004F73C6">
        <w:rPr>
          <w:rFonts w:ascii="Arial" w:hAnsi="Arial" w:cs="Arial"/>
          <w:i/>
          <w:sz w:val="22"/>
          <w:lang w:val="en-GB"/>
        </w:rPr>
        <w:t xml:space="preserve">, </w:t>
      </w:r>
      <w:r w:rsidR="00A515C2" w:rsidRPr="004F73C6">
        <w:rPr>
          <w:rFonts w:ascii="Arial" w:hAnsi="Arial" w:cs="Arial"/>
          <w:sz w:val="22"/>
          <w:lang w:val="en-GB"/>
        </w:rPr>
        <w:t>women</w:t>
      </w:r>
      <w:r w:rsidR="00A515C2" w:rsidRPr="004F73C6">
        <w:rPr>
          <w:rFonts w:ascii="Arial" w:hAnsi="Arial" w:cs="Arial"/>
          <w:i/>
          <w:sz w:val="22"/>
          <w:lang w:val="en-GB"/>
        </w:rPr>
        <w:t xml:space="preserve"> </w:t>
      </w:r>
      <w:r w:rsidR="00A515C2" w:rsidRPr="004F73C6">
        <w:rPr>
          <w:rFonts w:ascii="Arial" w:hAnsi="Arial" w:cs="Arial"/>
          <w:sz w:val="22"/>
          <w:lang w:val="en-GB"/>
        </w:rPr>
        <w:t xml:space="preserve">were found to be under-represented in </w:t>
      </w:r>
      <w:r w:rsidR="00884F2C" w:rsidRPr="004F73C6">
        <w:rPr>
          <w:rFonts w:ascii="Arial" w:hAnsi="Arial" w:cs="Arial"/>
          <w:sz w:val="22"/>
          <w:lang w:val="en-GB"/>
        </w:rPr>
        <w:t xml:space="preserve">older people’s groups. </w:t>
      </w:r>
      <w:r w:rsidR="00953E22" w:rsidRPr="004F73C6">
        <w:rPr>
          <w:rFonts w:ascii="Arial" w:hAnsi="Arial" w:cs="Arial"/>
          <w:sz w:val="22"/>
          <w:lang w:val="en-GB"/>
        </w:rPr>
        <w:t xml:space="preserve">Although membership in </w:t>
      </w:r>
      <w:r w:rsidR="00C30693" w:rsidRPr="004F73C6">
        <w:rPr>
          <w:rFonts w:ascii="Arial" w:hAnsi="Arial" w:cs="Arial"/>
          <w:i/>
          <w:sz w:val="22"/>
          <w:lang w:val="en-GB"/>
        </w:rPr>
        <w:t>Tanzania</w:t>
      </w:r>
      <w:r w:rsidR="00953E22" w:rsidRPr="004F73C6">
        <w:rPr>
          <w:rFonts w:ascii="Arial" w:hAnsi="Arial" w:cs="Arial"/>
          <w:sz w:val="22"/>
          <w:lang w:val="en-GB"/>
        </w:rPr>
        <w:t xml:space="preserve"> is 50%, </w:t>
      </w:r>
      <w:r w:rsidR="009D2741" w:rsidRPr="004F73C6">
        <w:rPr>
          <w:rFonts w:ascii="Arial" w:hAnsi="Arial" w:cs="Arial"/>
          <w:sz w:val="22"/>
          <w:lang w:val="en-GB"/>
        </w:rPr>
        <w:t>OPMGs</w:t>
      </w:r>
      <w:r w:rsidR="009D2741" w:rsidRPr="004F73C6">
        <w:rPr>
          <w:rStyle w:val="FootnoteReference"/>
          <w:rFonts w:ascii="Arial" w:hAnsi="Arial" w:cs="Arial"/>
          <w:sz w:val="22"/>
          <w:lang w:val="en-GB"/>
        </w:rPr>
        <w:footnoteReference w:id="10"/>
      </w:r>
      <w:r w:rsidR="009D2741" w:rsidRPr="004F73C6">
        <w:rPr>
          <w:rFonts w:ascii="Arial" w:hAnsi="Arial" w:cs="Arial"/>
          <w:sz w:val="22"/>
          <w:lang w:val="en-GB"/>
        </w:rPr>
        <w:t xml:space="preserve"> reported that it is difficult to recruit female members due to some membership conditions (being able to read and write) </w:t>
      </w:r>
      <w:r w:rsidR="0079506C" w:rsidRPr="004F73C6">
        <w:rPr>
          <w:rFonts w:ascii="Arial" w:hAnsi="Arial" w:cs="Arial"/>
          <w:sz w:val="22"/>
          <w:lang w:val="en-GB"/>
        </w:rPr>
        <w:t xml:space="preserve">and cultural barriers. </w:t>
      </w:r>
      <w:r w:rsidR="00884F2C" w:rsidRPr="004F73C6">
        <w:rPr>
          <w:rFonts w:ascii="Arial" w:hAnsi="Arial" w:cs="Arial"/>
          <w:sz w:val="22"/>
          <w:lang w:val="en-GB"/>
        </w:rPr>
        <w:t xml:space="preserve">No specific strategies were identified </w:t>
      </w:r>
      <w:r w:rsidR="005665B7" w:rsidRPr="004F73C6">
        <w:rPr>
          <w:rFonts w:ascii="Arial" w:hAnsi="Arial" w:cs="Arial"/>
          <w:sz w:val="22"/>
          <w:lang w:val="en-GB"/>
        </w:rPr>
        <w:t xml:space="preserve">by the programme </w:t>
      </w:r>
      <w:r w:rsidR="00884F2C" w:rsidRPr="004F73C6">
        <w:rPr>
          <w:rFonts w:ascii="Arial" w:hAnsi="Arial" w:cs="Arial"/>
          <w:sz w:val="22"/>
          <w:lang w:val="en-GB"/>
        </w:rPr>
        <w:t xml:space="preserve">to </w:t>
      </w:r>
      <w:r w:rsidR="00BD4CBE" w:rsidRPr="004F73C6">
        <w:rPr>
          <w:rFonts w:ascii="Arial" w:hAnsi="Arial" w:cs="Arial"/>
          <w:sz w:val="22"/>
          <w:lang w:val="en-GB"/>
        </w:rPr>
        <w:t xml:space="preserve">support the </w:t>
      </w:r>
      <w:r w:rsidR="00BD4CBE" w:rsidRPr="004F73C6">
        <w:rPr>
          <w:rFonts w:ascii="Arial" w:hAnsi="Arial" w:cs="Arial"/>
          <w:i/>
          <w:sz w:val="22"/>
          <w:lang w:val="en-GB"/>
        </w:rPr>
        <w:t>quality</w:t>
      </w:r>
      <w:r w:rsidR="00BD4CBE" w:rsidRPr="004F73C6">
        <w:rPr>
          <w:rFonts w:ascii="Arial" w:hAnsi="Arial" w:cs="Arial"/>
          <w:sz w:val="22"/>
          <w:lang w:val="en-GB"/>
        </w:rPr>
        <w:t xml:space="preserve"> of women’s representation and participation</w:t>
      </w:r>
      <w:r w:rsidR="00884F2C" w:rsidRPr="004F73C6">
        <w:rPr>
          <w:rFonts w:ascii="Arial" w:hAnsi="Arial" w:cs="Arial"/>
          <w:sz w:val="22"/>
          <w:lang w:val="en-GB"/>
        </w:rPr>
        <w:t>.</w:t>
      </w:r>
    </w:p>
    <w:p w14:paraId="521F817F" w14:textId="52E5A350" w:rsidR="00884F2C" w:rsidRPr="004F73C6" w:rsidRDefault="00884F2C" w:rsidP="00884F2C">
      <w:pPr>
        <w:jc w:val="both"/>
        <w:rPr>
          <w:rFonts w:ascii="Arial" w:hAnsi="Arial" w:cs="Arial"/>
          <w:sz w:val="22"/>
          <w:lang w:val="en-GB"/>
        </w:rPr>
      </w:pPr>
      <w:r w:rsidRPr="004F73C6">
        <w:rPr>
          <w:rFonts w:ascii="Arial" w:hAnsi="Arial" w:cs="Arial"/>
          <w:i/>
          <w:sz w:val="22"/>
          <w:lang w:val="en-GB"/>
        </w:rPr>
        <w:t xml:space="preserve">In </w:t>
      </w:r>
      <w:r w:rsidR="00C30693" w:rsidRPr="004F73C6">
        <w:rPr>
          <w:rFonts w:ascii="Arial" w:hAnsi="Arial" w:cs="Arial"/>
          <w:i/>
          <w:sz w:val="22"/>
          <w:lang w:val="en-GB"/>
        </w:rPr>
        <w:t>South Africa</w:t>
      </w:r>
      <w:r w:rsidRPr="004F73C6">
        <w:rPr>
          <w:rFonts w:ascii="Arial" w:hAnsi="Arial" w:cs="Arial"/>
          <w:i/>
          <w:sz w:val="22"/>
          <w:lang w:val="en-GB"/>
        </w:rPr>
        <w:t>,</w:t>
      </w:r>
      <w:r w:rsidRPr="004F73C6">
        <w:rPr>
          <w:rFonts w:ascii="Arial" w:hAnsi="Arial" w:cs="Arial"/>
          <w:sz w:val="22"/>
          <w:lang w:val="en-GB"/>
        </w:rPr>
        <w:t xml:space="preserve"> a baseline study of </w:t>
      </w:r>
      <w:r w:rsidR="004A78E9" w:rsidRPr="004F73C6">
        <w:rPr>
          <w:rFonts w:ascii="Arial" w:hAnsi="Arial" w:cs="Arial"/>
          <w:sz w:val="22"/>
          <w:lang w:val="en-GB"/>
        </w:rPr>
        <w:t xml:space="preserve">attendees at </w:t>
      </w:r>
      <w:r w:rsidRPr="004F73C6">
        <w:rPr>
          <w:rFonts w:ascii="Arial" w:hAnsi="Arial" w:cs="Arial"/>
          <w:sz w:val="22"/>
          <w:lang w:val="en-GB"/>
        </w:rPr>
        <w:t>health clinics did disaggregate data from male and female respondents</w:t>
      </w:r>
      <w:r w:rsidR="004A78E9" w:rsidRPr="004F73C6">
        <w:rPr>
          <w:rFonts w:ascii="Arial" w:hAnsi="Arial" w:cs="Arial"/>
          <w:sz w:val="22"/>
          <w:lang w:val="en-GB"/>
        </w:rPr>
        <w:t xml:space="preserve">. Older men’s </w:t>
      </w:r>
      <w:r w:rsidRPr="004F73C6">
        <w:rPr>
          <w:rFonts w:ascii="Arial" w:hAnsi="Arial" w:cs="Arial"/>
          <w:sz w:val="22"/>
          <w:lang w:val="en-GB"/>
        </w:rPr>
        <w:t xml:space="preserve">self-reported health status </w:t>
      </w:r>
      <w:r w:rsidR="004A78E9" w:rsidRPr="004F73C6">
        <w:rPr>
          <w:rFonts w:ascii="Arial" w:hAnsi="Arial" w:cs="Arial"/>
          <w:sz w:val="22"/>
          <w:lang w:val="en-GB"/>
        </w:rPr>
        <w:t xml:space="preserve">was found to be lower, perhaps </w:t>
      </w:r>
      <w:r w:rsidRPr="004F73C6">
        <w:rPr>
          <w:rFonts w:ascii="Arial" w:hAnsi="Arial" w:cs="Arial"/>
          <w:sz w:val="22"/>
          <w:lang w:val="en-GB"/>
        </w:rPr>
        <w:t xml:space="preserve">as a result of poorer health-seeking behaviour and the failure of clinics to reach this group with promotion and prevention activities. </w:t>
      </w:r>
      <w:r w:rsidR="006A5711" w:rsidRPr="004F73C6">
        <w:rPr>
          <w:rFonts w:ascii="Arial" w:hAnsi="Arial" w:cs="Arial"/>
          <w:sz w:val="22"/>
          <w:lang w:val="en-GB"/>
        </w:rPr>
        <w:t>The programme intends to follow up with work to target this group.</w:t>
      </w:r>
    </w:p>
    <w:p w14:paraId="3E7B36A0" w14:textId="57B35DB7" w:rsidR="00DC2416" w:rsidRPr="004F73C6" w:rsidRDefault="00DA0CE6" w:rsidP="00884F2C">
      <w:pPr>
        <w:jc w:val="both"/>
        <w:rPr>
          <w:rFonts w:ascii="Arial" w:hAnsi="Arial" w:cs="Arial"/>
          <w:sz w:val="22"/>
          <w:lang w:val="en-GB"/>
        </w:rPr>
      </w:pPr>
      <w:r w:rsidRPr="004F73C6">
        <w:rPr>
          <w:rFonts w:ascii="Arial" w:hAnsi="Arial" w:cs="Arial"/>
          <w:sz w:val="22"/>
          <w:lang w:val="en-GB"/>
        </w:rPr>
        <w:t xml:space="preserve">Some </w:t>
      </w:r>
      <w:r w:rsidR="00D45C07" w:rsidRPr="004F73C6">
        <w:rPr>
          <w:rFonts w:ascii="Arial" w:hAnsi="Arial" w:cs="Arial"/>
          <w:sz w:val="22"/>
          <w:lang w:val="en-GB"/>
        </w:rPr>
        <w:t xml:space="preserve">country programmes were </w:t>
      </w:r>
      <w:r w:rsidR="00FB7418" w:rsidRPr="004F73C6">
        <w:rPr>
          <w:rFonts w:ascii="Arial" w:hAnsi="Arial" w:cs="Arial"/>
          <w:sz w:val="22"/>
          <w:lang w:val="en-GB"/>
        </w:rPr>
        <w:t xml:space="preserve">found to be </w:t>
      </w:r>
      <w:r w:rsidR="00D45C07" w:rsidRPr="004F73C6">
        <w:rPr>
          <w:rFonts w:ascii="Arial" w:hAnsi="Arial" w:cs="Arial"/>
          <w:sz w:val="22"/>
          <w:lang w:val="en-GB"/>
        </w:rPr>
        <w:t xml:space="preserve">targeting their work in some of the poorest geographical areas – e.g. </w:t>
      </w:r>
      <w:proofErr w:type="spellStart"/>
      <w:r w:rsidR="00FC508E" w:rsidRPr="004F73C6">
        <w:rPr>
          <w:rFonts w:ascii="Arial" w:hAnsi="Arial" w:cs="Arial"/>
          <w:sz w:val="22"/>
          <w:lang w:val="en-GB"/>
        </w:rPr>
        <w:t>Karamoja</w:t>
      </w:r>
      <w:proofErr w:type="spellEnd"/>
      <w:r w:rsidR="00FC508E" w:rsidRPr="004F73C6">
        <w:rPr>
          <w:rFonts w:ascii="Arial" w:hAnsi="Arial" w:cs="Arial"/>
          <w:sz w:val="22"/>
          <w:lang w:val="en-GB"/>
        </w:rPr>
        <w:t xml:space="preserve"> </w:t>
      </w:r>
      <w:r w:rsidRPr="004F73C6">
        <w:rPr>
          <w:rFonts w:ascii="Arial" w:hAnsi="Arial" w:cs="Arial"/>
          <w:sz w:val="22"/>
          <w:lang w:val="en-GB"/>
        </w:rPr>
        <w:t xml:space="preserve">in </w:t>
      </w:r>
      <w:r w:rsidR="00C30693" w:rsidRPr="004F73C6">
        <w:rPr>
          <w:rFonts w:ascii="Arial" w:hAnsi="Arial" w:cs="Arial"/>
          <w:i/>
          <w:sz w:val="22"/>
          <w:lang w:val="en-GB"/>
        </w:rPr>
        <w:t>Uganda</w:t>
      </w:r>
      <w:r w:rsidRPr="004F73C6">
        <w:rPr>
          <w:rFonts w:ascii="Arial" w:hAnsi="Arial" w:cs="Arial"/>
          <w:sz w:val="22"/>
          <w:lang w:val="en-GB"/>
        </w:rPr>
        <w:t xml:space="preserve">. However, at community level, the reviews reported a difficulty to </w:t>
      </w:r>
      <w:r w:rsidR="00F33C06" w:rsidRPr="004F73C6">
        <w:rPr>
          <w:rFonts w:ascii="Arial" w:hAnsi="Arial" w:cs="Arial"/>
          <w:sz w:val="22"/>
          <w:lang w:val="en-GB"/>
        </w:rPr>
        <w:t>engage some groups in OPA activity – due to illness or poverty. This is a difficult issue</w:t>
      </w:r>
      <w:r w:rsidR="00DA3D73" w:rsidRPr="004F73C6">
        <w:rPr>
          <w:rFonts w:ascii="Arial" w:hAnsi="Arial" w:cs="Arial"/>
          <w:sz w:val="22"/>
          <w:lang w:val="en-GB"/>
        </w:rPr>
        <w:t xml:space="preserve">. In </w:t>
      </w:r>
      <w:r w:rsidR="00C30693" w:rsidRPr="004F73C6">
        <w:rPr>
          <w:rFonts w:ascii="Arial" w:hAnsi="Arial" w:cs="Arial"/>
          <w:i/>
          <w:sz w:val="22"/>
          <w:lang w:val="en-GB"/>
        </w:rPr>
        <w:t>Tanzania</w:t>
      </w:r>
      <w:r w:rsidR="00DA3D73" w:rsidRPr="004F73C6">
        <w:rPr>
          <w:rFonts w:ascii="Arial" w:hAnsi="Arial" w:cs="Arial"/>
          <w:sz w:val="22"/>
          <w:lang w:val="en-GB"/>
        </w:rPr>
        <w:t xml:space="preserve">, some members of OPAs reported that they </w:t>
      </w:r>
      <w:r w:rsidR="005378C8" w:rsidRPr="004F73C6">
        <w:rPr>
          <w:rFonts w:ascii="Arial" w:hAnsi="Arial" w:cs="Arial"/>
          <w:sz w:val="22"/>
          <w:lang w:val="en-GB"/>
        </w:rPr>
        <w:t xml:space="preserve">use part of the profits from group income generating activities to support vulnerable </w:t>
      </w:r>
      <w:r w:rsidR="009B523F" w:rsidRPr="004F73C6">
        <w:rPr>
          <w:rFonts w:ascii="Arial" w:hAnsi="Arial" w:cs="Arial"/>
          <w:sz w:val="22"/>
          <w:lang w:val="en-GB"/>
        </w:rPr>
        <w:t xml:space="preserve">members, </w:t>
      </w:r>
      <w:r w:rsidR="00DB6C39" w:rsidRPr="004F73C6">
        <w:rPr>
          <w:rFonts w:ascii="Arial" w:hAnsi="Arial" w:cs="Arial"/>
          <w:sz w:val="22"/>
          <w:lang w:val="en-GB"/>
        </w:rPr>
        <w:t xml:space="preserve">and </w:t>
      </w:r>
      <w:r w:rsidR="009B523F" w:rsidRPr="004F73C6">
        <w:rPr>
          <w:rFonts w:ascii="Arial" w:hAnsi="Arial" w:cs="Arial"/>
          <w:sz w:val="22"/>
          <w:lang w:val="en-GB"/>
        </w:rPr>
        <w:t xml:space="preserve">make an effort to visit those who are ill especially in case of emergency. No hard data is available for the extent of exclusion </w:t>
      </w:r>
      <w:r w:rsidR="00D8472E" w:rsidRPr="004F73C6">
        <w:rPr>
          <w:rFonts w:ascii="Arial" w:hAnsi="Arial" w:cs="Arial"/>
          <w:sz w:val="22"/>
          <w:lang w:val="en-GB"/>
        </w:rPr>
        <w:t xml:space="preserve">of poor or </w:t>
      </w:r>
      <w:r w:rsidR="00C20950" w:rsidRPr="004F73C6">
        <w:rPr>
          <w:rFonts w:ascii="Arial" w:hAnsi="Arial" w:cs="Arial"/>
          <w:sz w:val="22"/>
          <w:lang w:val="en-GB"/>
        </w:rPr>
        <w:t xml:space="preserve">infirm people </w:t>
      </w:r>
      <w:r w:rsidR="00D8472E" w:rsidRPr="004F73C6">
        <w:rPr>
          <w:rFonts w:ascii="Arial" w:hAnsi="Arial" w:cs="Arial"/>
          <w:sz w:val="22"/>
          <w:lang w:val="en-GB"/>
        </w:rPr>
        <w:t xml:space="preserve">from the benefits of OPA activity, </w:t>
      </w:r>
      <w:r w:rsidR="009B523F" w:rsidRPr="004F73C6">
        <w:rPr>
          <w:rFonts w:ascii="Arial" w:hAnsi="Arial" w:cs="Arial"/>
          <w:sz w:val="22"/>
          <w:lang w:val="en-GB"/>
        </w:rPr>
        <w:t xml:space="preserve">or </w:t>
      </w:r>
      <w:r w:rsidR="00D8472E" w:rsidRPr="004F73C6">
        <w:rPr>
          <w:rFonts w:ascii="Arial" w:hAnsi="Arial" w:cs="Arial"/>
          <w:sz w:val="22"/>
          <w:lang w:val="en-GB"/>
        </w:rPr>
        <w:t>their efforts to overcome these.</w:t>
      </w:r>
    </w:p>
    <w:p w14:paraId="389C9CDE" w14:textId="163DED86" w:rsidR="00C23E50" w:rsidRPr="004F73C6" w:rsidRDefault="00523679" w:rsidP="007E44FB">
      <w:pPr>
        <w:pStyle w:val="Heading1"/>
        <w:rPr>
          <w:rFonts w:eastAsia="Calibri"/>
          <w:lang w:val="en-GB"/>
        </w:rPr>
      </w:pPr>
      <w:bookmarkStart w:id="6" w:name="_Toc402974751"/>
      <w:r w:rsidRPr="004F73C6">
        <w:rPr>
          <w:rFonts w:eastAsia="Calibri"/>
          <w:lang w:val="en-GB"/>
        </w:rPr>
        <w:t>Monitoring and e</w:t>
      </w:r>
      <w:r w:rsidR="007E44FB" w:rsidRPr="004F73C6">
        <w:rPr>
          <w:rFonts w:eastAsia="Calibri"/>
          <w:lang w:val="en-GB"/>
        </w:rPr>
        <w:t>valuation</w:t>
      </w:r>
      <w:bookmarkEnd w:id="6"/>
    </w:p>
    <w:p w14:paraId="2086CABA" w14:textId="77777777" w:rsidR="003C2E5A" w:rsidRPr="004F73C6" w:rsidRDefault="003C2E5A" w:rsidP="003C2E5A">
      <w:pPr>
        <w:spacing w:after="0"/>
        <w:jc w:val="both"/>
        <w:rPr>
          <w:rFonts w:ascii="Arial" w:eastAsia="Times New Roman" w:hAnsi="Arial" w:cs="Arial"/>
          <w:bCs/>
          <w:sz w:val="22"/>
          <w:lang w:val="en-GB"/>
        </w:rPr>
      </w:pPr>
      <w:r w:rsidRPr="004F73C6">
        <w:rPr>
          <w:rFonts w:ascii="Arial" w:eastAsia="Times New Roman" w:hAnsi="Arial" w:cs="Arial"/>
          <w:bCs/>
          <w:sz w:val="22"/>
          <w:lang w:val="en-GB"/>
        </w:rPr>
        <w:t xml:space="preserve">At the programme level, monitoring and reporting is guided by a results framework which includes methods of data collection and performance data (at baseline and milestones) for each of the four intervention countries in Africa. The development education component is detailed in a separate document. </w:t>
      </w:r>
    </w:p>
    <w:p w14:paraId="6E1C0ED2" w14:textId="77777777" w:rsidR="003C2E5A" w:rsidRPr="004F73C6" w:rsidRDefault="003C2E5A" w:rsidP="003C2E5A">
      <w:pPr>
        <w:spacing w:after="0"/>
        <w:jc w:val="both"/>
        <w:rPr>
          <w:rFonts w:ascii="Arial" w:eastAsia="Times New Roman" w:hAnsi="Arial" w:cs="Arial"/>
          <w:bCs/>
          <w:sz w:val="22"/>
          <w:lang w:val="en-GB"/>
        </w:rPr>
      </w:pPr>
    </w:p>
    <w:p w14:paraId="3F5D2956" w14:textId="57C87FBA" w:rsidR="003C2E5A" w:rsidRPr="004F73C6" w:rsidRDefault="003C2E5A" w:rsidP="00981318">
      <w:pPr>
        <w:jc w:val="both"/>
        <w:rPr>
          <w:rFonts w:ascii="Arial" w:eastAsia="Times New Roman" w:hAnsi="Arial" w:cs="Arial"/>
          <w:bCs/>
          <w:sz w:val="22"/>
          <w:lang w:val="en-GB"/>
        </w:rPr>
      </w:pPr>
      <w:r w:rsidRPr="004F73C6">
        <w:rPr>
          <w:rFonts w:ascii="Arial" w:eastAsia="Times New Roman" w:hAnsi="Arial" w:cs="Arial"/>
          <w:bCs/>
          <w:sz w:val="22"/>
          <w:lang w:val="en-GB"/>
        </w:rPr>
        <w:t>Th</w:t>
      </w:r>
      <w:r w:rsidR="003A732F" w:rsidRPr="004F73C6">
        <w:rPr>
          <w:rFonts w:ascii="Arial" w:eastAsia="Times New Roman" w:hAnsi="Arial" w:cs="Arial"/>
          <w:bCs/>
          <w:sz w:val="22"/>
          <w:lang w:val="en-GB"/>
        </w:rPr>
        <w:t xml:space="preserve">e review focused </w:t>
      </w:r>
      <w:r w:rsidR="00A01C0E" w:rsidRPr="004F73C6">
        <w:rPr>
          <w:rFonts w:ascii="Arial" w:eastAsia="Times New Roman" w:hAnsi="Arial" w:cs="Arial"/>
          <w:bCs/>
          <w:sz w:val="22"/>
          <w:lang w:val="en-GB"/>
        </w:rPr>
        <w:t xml:space="preserve">attention on the use of the </w:t>
      </w:r>
      <w:r w:rsidRPr="004F73C6">
        <w:rPr>
          <w:rFonts w:ascii="Arial" w:eastAsia="Times New Roman" w:hAnsi="Arial" w:cs="Arial"/>
          <w:bCs/>
          <w:sz w:val="22"/>
          <w:lang w:val="en-GB"/>
        </w:rPr>
        <w:t>Africa-focused results framework and the extent that it support</w:t>
      </w:r>
      <w:r w:rsidR="00A01C0E" w:rsidRPr="004F73C6">
        <w:rPr>
          <w:rFonts w:ascii="Arial" w:eastAsia="Times New Roman" w:hAnsi="Arial" w:cs="Arial"/>
          <w:bCs/>
          <w:sz w:val="22"/>
          <w:lang w:val="en-GB"/>
        </w:rPr>
        <w:t>s</w:t>
      </w:r>
      <w:r w:rsidRPr="004F73C6">
        <w:rPr>
          <w:rFonts w:ascii="Arial" w:eastAsia="Times New Roman" w:hAnsi="Arial" w:cs="Arial"/>
          <w:bCs/>
          <w:sz w:val="22"/>
          <w:lang w:val="en-GB"/>
        </w:rPr>
        <w:t xml:space="preserve"> a results-based approach to programme management</w:t>
      </w:r>
      <w:r w:rsidR="00A01C0E" w:rsidRPr="004F73C6">
        <w:rPr>
          <w:rStyle w:val="FootnoteReference"/>
          <w:rFonts w:ascii="Arial" w:eastAsia="Times New Roman" w:hAnsi="Arial" w:cs="Arial"/>
          <w:bCs/>
          <w:sz w:val="22"/>
          <w:lang w:val="en-GB"/>
        </w:rPr>
        <w:footnoteReference w:id="11"/>
      </w:r>
      <w:r w:rsidRPr="004F73C6">
        <w:rPr>
          <w:rFonts w:ascii="Arial" w:eastAsia="Times New Roman" w:hAnsi="Arial" w:cs="Arial"/>
          <w:bCs/>
          <w:sz w:val="22"/>
          <w:lang w:val="en-GB"/>
        </w:rPr>
        <w:t xml:space="preserve">. The results framework is in the </w:t>
      </w:r>
      <w:r w:rsidRPr="004F73C6">
        <w:rPr>
          <w:rFonts w:ascii="Arial" w:eastAsia="Times New Roman" w:hAnsi="Arial" w:cs="Arial"/>
          <w:bCs/>
          <w:sz w:val="22"/>
          <w:lang w:val="en-GB"/>
        </w:rPr>
        <w:lastRenderedPageBreak/>
        <w:t>form of an excel workbook –</w:t>
      </w:r>
      <w:r w:rsidRPr="004F73C6">
        <w:rPr>
          <w:lang w:val="en-GB"/>
        </w:rPr>
        <w:t xml:space="preserve"> </w:t>
      </w:r>
      <w:r w:rsidRPr="004F73C6">
        <w:rPr>
          <w:rFonts w:ascii="Arial" w:eastAsia="Times New Roman" w:hAnsi="Arial" w:cs="Arial"/>
          <w:bCs/>
          <w:sz w:val="22"/>
          <w:lang w:val="en-GB"/>
        </w:rPr>
        <w:t xml:space="preserve">the structure of which has undergone several iterations since the start of programme. At the time of the review, the framework was in the form of a single spreadsheet which includes details of interpretation and measurement for each indicator, and records of performance data from each country, structured around the vertical logic of the programme (output to goal). This version presents a high level of granularity (i.e. data visible for each country for each of the 21 indicators), and a detailed description of indicator measurement (units of measurement, nominator, denominator, source </w:t>
      </w:r>
      <w:proofErr w:type="spellStart"/>
      <w:r w:rsidRPr="004F73C6">
        <w:rPr>
          <w:rFonts w:ascii="Arial" w:eastAsia="Times New Roman" w:hAnsi="Arial" w:cs="Arial"/>
          <w:bCs/>
          <w:sz w:val="22"/>
          <w:lang w:val="en-GB"/>
        </w:rPr>
        <w:t>etc</w:t>
      </w:r>
      <w:proofErr w:type="spellEnd"/>
      <w:r w:rsidRPr="004F73C6">
        <w:rPr>
          <w:rFonts w:ascii="Arial" w:eastAsia="Times New Roman" w:hAnsi="Arial" w:cs="Arial"/>
          <w:bCs/>
          <w:sz w:val="22"/>
          <w:lang w:val="en-GB"/>
        </w:rPr>
        <w:t xml:space="preserve">). </w:t>
      </w:r>
    </w:p>
    <w:p w14:paraId="74079A49" w14:textId="77777777" w:rsidR="003C2E5A" w:rsidRPr="004F73C6" w:rsidRDefault="003C2E5A" w:rsidP="003C2E5A">
      <w:pPr>
        <w:spacing w:after="0"/>
        <w:jc w:val="both"/>
        <w:rPr>
          <w:rFonts w:ascii="Arial" w:eastAsia="Times New Roman" w:hAnsi="Arial" w:cs="Arial"/>
          <w:bCs/>
          <w:sz w:val="22"/>
          <w:lang w:val="en-GB"/>
        </w:rPr>
      </w:pPr>
    </w:p>
    <w:p w14:paraId="36E0B64E" w14:textId="5BDC93D3" w:rsidR="00DD719D" w:rsidRPr="004F73C6" w:rsidRDefault="003C2E5A" w:rsidP="00DD719D">
      <w:pPr>
        <w:jc w:val="both"/>
        <w:rPr>
          <w:rFonts w:ascii="Arial" w:eastAsia="Times New Roman" w:hAnsi="Arial" w:cs="Arial"/>
          <w:bCs/>
          <w:sz w:val="22"/>
          <w:lang w:val="en-GB"/>
        </w:rPr>
      </w:pPr>
      <w:r w:rsidRPr="004F73C6">
        <w:rPr>
          <w:rFonts w:ascii="Arial" w:eastAsia="Times New Roman" w:hAnsi="Arial" w:cs="Arial"/>
          <w:bCs/>
          <w:sz w:val="22"/>
          <w:lang w:val="en-GB"/>
        </w:rPr>
        <w:t xml:space="preserve">The results framework is comprehensive and logically structured. It links to objectives in </w:t>
      </w:r>
      <w:proofErr w:type="spellStart"/>
      <w:r w:rsidRPr="004F73C6">
        <w:rPr>
          <w:rFonts w:ascii="Arial" w:eastAsia="Times New Roman" w:hAnsi="Arial" w:cs="Arial"/>
          <w:bCs/>
          <w:sz w:val="22"/>
          <w:lang w:val="en-GB"/>
        </w:rPr>
        <w:t>HelpAge’s</w:t>
      </w:r>
      <w:proofErr w:type="spellEnd"/>
      <w:r w:rsidRPr="004F73C6">
        <w:rPr>
          <w:rFonts w:ascii="Arial" w:eastAsia="Times New Roman" w:hAnsi="Arial" w:cs="Arial"/>
          <w:bCs/>
          <w:sz w:val="22"/>
          <w:lang w:val="en-GB"/>
        </w:rPr>
        <w:t xml:space="preserve"> corporate framework. Most of the results (even ‘outputs’) are a high level – i.e. they correspond to actions by government or civil </w:t>
      </w:r>
      <w:proofErr w:type="gramStart"/>
      <w:r w:rsidRPr="004F73C6">
        <w:rPr>
          <w:rFonts w:ascii="Arial" w:eastAsia="Times New Roman" w:hAnsi="Arial" w:cs="Arial"/>
          <w:bCs/>
          <w:sz w:val="22"/>
          <w:lang w:val="en-GB"/>
        </w:rPr>
        <w:t>society which are</w:t>
      </w:r>
      <w:proofErr w:type="gramEnd"/>
      <w:r w:rsidRPr="004F73C6">
        <w:rPr>
          <w:rFonts w:ascii="Arial" w:eastAsia="Times New Roman" w:hAnsi="Arial" w:cs="Arial"/>
          <w:bCs/>
          <w:sz w:val="22"/>
          <w:lang w:val="en-GB"/>
        </w:rPr>
        <w:t xml:space="preserve"> not in the immediate control of the programme.</w:t>
      </w:r>
      <w:r w:rsidR="00DD719D" w:rsidRPr="004F73C6">
        <w:rPr>
          <w:rFonts w:ascii="Arial" w:eastAsia="Times New Roman" w:hAnsi="Arial" w:cs="Arial"/>
          <w:bCs/>
          <w:sz w:val="22"/>
          <w:lang w:val="en-GB"/>
        </w:rPr>
        <w:t xml:space="preserve"> </w:t>
      </w:r>
    </w:p>
    <w:p w14:paraId="1C8C4BE3" w14:textId="77777777" w:rsidR="003C2E5A" w:rsidRPr="004F73C6" w:rsidRDefault="003C2E5A" w:rsidP="003C2E5A">
      <w:pPr>
        <w:spacing w:after="0"/>
        <w:jc w:val="both"/>
        <w:rPr>
          <w:rFonts w:ascii="Arial" w:eastAsia="Times New Roman" w:hAnsi="Arial" w:cs="Arial"/>
          <w:bCs/>
          <w:sz w:val="22"/>
          <w:lang w:val="en-GB"/>
        </w:rPr>
      </w:pPr>
    </w:p>
    <w:p w14:paraId="2E87B153" w14:textId="06AA6018" w:rsidR="004818A9" w:rsidRPr="004F73C6" w:rsidRDefault="003C2E5A" w:rsidP="003C2E5A">
      <w:pPr>
        <w:spacing w:after="0"/>
        <w:jc w:val="both"/>
        <w:rPr>
          <w:rFonts w:ascii="Arial" w:eastAsia="Times New Roman" w:hAnsi="Arial" w:cs="Arial"/>
          <w:bCs/>
          <w:sz w:val="22"/>
          <w:lang w:val="en-GB"/>
        </w:rPr>
      </w:pPr>
      <w:r w:rsidRPr="004F73C6">
        <w:rPr>
          <w:rFonts w:ascii="Arial" w:eastAsia="Times New Roman" w:hAnsi="Arial" w:cs="Arial"/>
          <w:bCs/>
          <w:sz w:val="22"/>
          <w:lang w:val="en-GB"/>
        </w:rPr>
        <w:t>The results framework has the potential to perform 3 functions – to communicate the underlying logic of the programme, to defin</w:t>
      </w:r>
      <w:r w:rsidR="004818A9" w:rsidRPr="004F73C6">
        <w:rPr>
          <w:rFonts w:ascii="Arial" w:eastAsia="Times New Roman" w:hAnsi="Arial" w:cs="Arial"/>
          <w:bCs/>
          <w:sz w:val="22"/>
          <w:lang w:val="en-GB"/>
        </w:rPr>
        <w:t>e</w:t>
      </w:r>
      <w:r w:rsidRPr="004F73C6">
        <w:rPr>
          <w:rFonts w:ascii="Arial" w:eastAsia="Times New Roman" w:hAnsi="Arial" w:cs="Arial"/>
          <w:bCs/>
          <w:sz w:val="22"/>
          <w:lang w:val="en-GB"/>
        </w:rPr>
        <w:t xml:space="preserve"> indicators</w:t>
      </w:r>
      <w:r w:rsidR="004818A9" w:rsidRPr="004F73C6">
        <w:rPr>
          <w:rFonts w:ascii="Arial" w:eastAsia="Times New Roman" w:hAnsi="Arial" w:cs="Arial"/>
          <w:bCs/>
          <w:sz w:val="22"/>
          <w:lang w:val="en-GB"/>
        </w:rPr>
        <w:t xml:space="preserve"> of progress</w:t>
      </w:r>
      <w:r w:rsidRPr="004F73C6">
        <w:rPr>
          <w:rFonts w:ascii="Arial" w:eastAsia="Times New Roman" w:hAnsi="Arial" w:cs="Arial"/>
          <w:bCs/>
          <w:sz w:val="22"/>
          <w:lang w:val="en-GB"/>
        </w:rPr>
        <w:t>, and to communicate performance</w:t>
      </w:r>
      <w:r w:rsidR="004818A9" w:rsidRPr="004F73C6">
        <w:rPr>
          <w:rFonts w:ascii="Arial" w:eastAsia="Times New Roman" w:hAnsi="Arial" w:cs="Arial"/>
          <w:bCs/>
          <w:sz w:val="22"/>
          <w:lang w:val="en-GB"/>
        </w:rPr>
        <w:t xml:space="preserve"> by recording results</w:t>
      </w:r>
      <w:r w:rsidRPr="004F73C6">
        <w:rPr>
          <w:rFonts w:ascii="Arial" w:eastAsia="Times New Roman" w:hAnsi="Arial" w:cs="Arial"/>
          <w:bCs/>
          <w:sz w:val="22"/>
          <w:lang w:val="en-GB"/>
        </w:rPr>
        <w:t xml:space="preserve">, all three functions being important for accountability, management and learning. </w:t>
      </w:r>
    </w:p>
    <w:p w14:paraId="792D42EB" w14:textId="77777777" w:rsidR="004818A9" w:rsidRPr="004F73C6" w:rsidRDefault="004818A9" w:rsidP="003C2E5A">
      <w:pPr>
        <w:spacing w:after="0"/>
        <w:jc w:val="both"/>
        <w:rPr>
          <w:rFonts w:ascii="Arial" w:eastAsia="Times New Roman" w:hAnsi="Arial" w:cs="Arial"/>
          <w:bCs/>
          <w:sz w:val="22"/>
          <w:lang w:val="en-GB"/>
        </w:rPr>
      </w:pPr>
    </w:p>
    <w:p w14:paraId="4D47F8AA" w14:textId="26AA9545" w:rsidR="003C2E5A" w:rsidRPr="004F73C6" w:rsidRDefault="003C2E5A" w:rsidP="003C2E5A">
      <w:pPr>
        <w:spacing w:after="0"/>
        <w:jc w:val="both"/>
        <w:rPr>
          <w:rFonts w:ascii="Arial" w:eastAsia="Times New Roman" w:hAnsi="Arial" w:cs="Arial"/>
          <w:bCs/>
          <w:sz w:val="22"/>
          <w:lang w:val="en-GB"/>
        </w:rPr>
      </w:pPr>
      <w:r w:rsidRPr="004F73C6">
        <w:rPr>
          <w:rFonts w:ascii="Arial" w:eastAsia="Times New Roman" w:hAnsi="Arial" w:cs="Arial"/>
          <w:bCs/>
          <w:sz w:val="22"/>
          <w:lang w:val="en-GB"/>
        </w:rPr>
        <w:t xml:space="preserve">Interviews with programme staff suggest that to date, the framework has used primarily to record results. </w:t>
      </w:r>
    </w:p>
    <w:p w14:paraId="5D1B6A3F" w14:textId="77777777" w:rsidR="003C2E5A" w:rsidRPr="004F73C6" w:rsidRDefault="003C2E5A" w:rsidP="003C2E5A">
      <w:pPr>
        <w:spacing w:after="0"/>
        <w:rPr>
          <w:rFonts w:ascii="Arial" w:eastAsia="Times New Roman" w:hAnsi="Arial" w:cs="Arial"/>
          <w:bCs/>
          <w:sz w:val="22"/>
          <w:lang w:val="en-GB"/>
        </w:rPr>
      </w:pPr>
    </w:p>
    <w:p w14:paraId="7FC7E094" w14:textId="77777777" w:rsidR="003C2E5A" w:rsidRPr="004F73C6" w:rsidRDefault="003C2E5A" w:rsidP="003C2E5A">
      <w:pPr>
        <w:ind w:left="284" w:right="288"/>
        <w:rPr>
          <w:sz w:val="22"/>
          <w:lang w:val="en-GB"/>
        </w:rPr>
      </w:pPr>
      <w:r w:rsidRPr="004F73C6">
        <w:rPr>
          <w:i/>
          <w:sz w:val="22"/>
          <w:lang w:val="en-GB"/>
        </w:rPr>
        <w:t xml:space="preserve">‘You get a sense of what’s happening on milestones, but less of a sense of learning’ </w:t>
      </w:r>
      <w:r w:rsidRPr="004F73C6">
        <w:rPr>
          <w:sz w:val="22"/>
          <w:lang w:val="en-GB"/>
        </w:rPr>
        <w:t>HelpAge staff member</w:t>
      </w:r>
    </w:p>
    <w:p w14:paraId="31FF8AF9" w14:textId="6DAD435A" w:rsidR="003C2E5A" w:rsidRPr="004F73C6" w:rsidRDefault="003C2E5A" w:rsidP="003C2E5A">
      <w:pPr>
        <w:autoSpaceDE w:val="0"/>
        <w:autoSpaceDN w:val="0"/>
        <w:adjustRightInd w:val="0"/>
        <w:spacing w:after="0"/>
        <w:jc w:val="both"/>
        <w:rPr>
          <w:rFonts w:ascii="Arial" w:eastAsia="Times New Roman" w:hAnsi="Arial" w:cs="Arial"/>
          <w:bCs/>
          <w:sz w:val="22"/>
          <w:lang w:val="en-GB"/>
        </w:rPr>
      </w:pPr>
      <w:r w:rsidRPr="004F73C6">
        <w:rPr>
          <w:rFonts w:ascii="Arial" w:eastAsia="Times New Roman" w:hAnsi="Arial" w:cs="Arial"/>
          <w:bCs/>
          <w:sz w:val="22"/>
          <w:lang w:val="en-GB"/>
        </w:rPr>
        <w:t xml:space="preserve">While the completeness of the results framework has helped to demonstrate overall accountability of the programme, </w:t>
      </w:r>
      <w:r w:rsidR="0026135A" w:rsidRPr="004F73C6">
        <w:rPr>
          <w:rFonts w:ascii="Arial" w:eastAsia="Times New Roman" w:hAnsi="Arial" w:cs="Arial"/>
          <w:bCs/>
          <w:sz w:val="22"/>
          <w:lang w:val="en-GB"/>
        </w:rPr>
        <w:t>there</w:t>
      </w:r>
      <w:r w:rsidR="00C1636C" w:rsidRPr="004F73C6">
        <w:rPr>
          <w:rFonts w:ascii="Arial" w:eastAsia="Times New Roman" w:hAnsi="Arial" w:cs="Arial"/>
          <w:bCs/>
          <w:sz w:val="22"/>
          <w:lang w:val="en-GB"/>
        </w:rPr>
        <w:t xml:space="preserve"> is little evidence that </w:t>
      </w:r>
      <w:r w:rsidRPr="004F73C6">
        <w:rPr>
          <w:rFonts w:ascii="Arial" w:eastAsia="Times New Roman" w:hAnsi="Arial" w:cs="Arial"/>
          <w:bCs/>
          <w:sz w:val="22"/>
          <w:lang w:val="en-GB"/>
        </w:rPr>
        <w:t xml:space="preserve">it has been used for learning at country and regional level. Much of the reason for this is due to the way the information is presented – the framework in use at the time of the review consisted of a framework of some 650 cells (26 x 25). The level of </w:t>
      </w:r>
      <w:r w:rsidR="00C3787A" w:rsidRPr="004F73C6">
        <w:rPr>
          <w:rFonts w:ascii="Arial" w:eastAsia="Times New Roman" w:hAnsi="Arial" w:cs="Arial"/>
          <w:bCs/>
          <w:sz w:val="22"/>
          <w:lang w:val="en-GB"/>
        </w:rPr>
        <w:t xml:space="preserve">detail </w:t>
      </w:r>
      <w:r w:rsidRPr="004F73C6">
        <w:rPr>
          <w:rFonts w:ascii="Arial" w:eastAsia="Times New Roman" w:hAnsi="Arial" w:cs="Arial"/>
          <w:bCs/>
          <w:sz w:val="22"/>
          <w:lang w:val="en-GB"/>
        </w:rPr>
        <w:t>means that it is challenging to maintain a sense of the vertical logic (outputs to outcomes) or to review results for a particular country. This issue is made more challenging by the high level of results recorded in the framework which make it difficult to assess the role and contribution of HelpAge activities.</w:t>
      </w:r>
    </w:p>
    <w:p w14:paraId="33833A04" w14:textId="77777777" w:rsidR="003C2E5A" w:rsidRPr="004F73C6" w:rsidRDefault="003C2E5A" w:rsidP="003C2E5A">
      <w:pPr>
        <w:spacing w:after="0"/>
        <w:rPr>
          <w:rFonts w:ascii="Arial" w:eastAsia="Times New Roman" w:hAnsi="Arial" w:cs="Arial"/>
          <w:bCs/>
          <w:sz w:val="22"/>
          <w:lang w:val="en-GB"/>
        </w:rPr>
      </w:pPr>
    </w:p>
    <w:p w14:paraId="4C5570D6" w14:textId="4A10167A" w:rsidR="003C2E5A" w:rsidRPr="004F73C6" w:rsidRDefault="003C2E5A" w:rsidP="003C2E5A">
      <w:pPr>
        <w:spacing w:after="0"/>
        <w:ind w:left="284" w:right="429"/>
        <w:rPr>
          <w:i/>
          <w:sz w:val="22"/>
          <w:lang w:val="en-GB"/>
        </w:rPr>
      </w:pPr>
      <w:r w:rsidRPr="004F73C6">
        <w:rPr>
          <w:i/>
          <w:sz w:val="22"/>
          <w:lang w:val="en-GB"/>
        </w:rPr>
        <w:t>‘[The Results Framework] is not a document for quick reference. The presentation is on a huge scale and it</w:t>
      </w:r>
      <w:r w:rsidR="00786774">
        <w:rPr>
          <w:i/>
          <w:sz w:val="22"/>
          <w:lang w:val="en-GB"/>
        </w:rPr>
        <w:t>’</w:t>
      </w:r>
      <w:r w:rsidRPr="004F73C6">
        <w:rPr>
          <w:i/>
          <w:sz w:val="22"/>
          <w:lang w:val="en-GB"/>
        </w:rPr>
        <w:t>s very difficult to scroll through with not a very clear link between levels.’</w:t>
      </w:r>
    </w:p>
    <w:p w14:paraId="04D6A33A" w14:textId="77777777" w:rsidR="003C2E5A" w:rsidRPr="004F73C6" w:rsidRDefault="003C2E5A" w:rsidP="003C2E5A">
      <w:pPr>
        <w:spacing w:after="0"/>
        <w:rPr>
          <w:rFonts w:ascii="Arial" w:eastAsia="Times New Roman" w:hAnsi="Arial" w:cs="Arial"/>
          <w:bCs/>
          <w:sz w:val="22"/>
          <w:lang w:val="en-GB"/>
        </w:rPr>
      </w:pPr>
    </w:p>
    <w:p w14:paraId="7C42C3DC" w14:textId="77777777" w:rsidR="00D00BFB" w:rsidRPr="004F73C6" w:rsidRDefault="003C2E5A" w:rsidP="003C2E5A">
      <w:pPr>
        <w:spacing w:after="0"/>
        <w:jc w:val="both"/>
        <w:rPr>
          <w:rFonts w:ascii="Arial" w:eastAsia="Times New Roman" w:hAnsi="Arial" w:cs="Arial"/>
          <w:bCs/>
          <w:sz w:val="22"/>
          <w:lang w:val="en-GB"/>
        </w:rPr>
      </w:pPr>
      <w:r w:rsidRPr="004F73C6">
        <w:rPr>
          <w:rFonts w:ascii="Arial" w:eastAsia="Times New Roman" w:hAnsi="Arial" w:cs="Arial"/>
          <w:bCs/>
          <w:sz w:val="22"/>
          <w:lang w:val="en-GB"/>
        </w:rPr>
        <w:t xml:space="preserve">An important consequence of this is that key narratives concerning strategy and performance are not fully developed or shared within or across country programmes. This is evidenced by a weak link between the results framework and individual country reports which have tended to focus on activities with limited reflections on how these contribute to outcomes. </w:t>
      </w:r>
    </w:p>
    <w:p w14:paraId="24083B08" w14:textId="77777777" w:rsidR="00D00BFB" w:rsidRPr="004F73C6" w:rsidRDefault="00D00BFB" w:rsidP="003C2E5A">
      <w:pPr>
        <w:spacing w:after="0"/>
        <w:jc w:val="both"/>
        <w:rPr>
          <w:rFonts w:ascii="Arial" w:eastAsia="Times New Roman" w:hAnsi="Arial" w:cs="Arial"/>
          <w:bCs/>
          <w:sz w:val="22"/>
          <w:lang w:val="en-GB"/>
        </w:rPr>
      </w:pPr>
    </w:p>
    <w:p w14:paraId="2021A232" w14:textId="60C966D5" w:rsidR="003C2E5A" w:rsidRPr="004F73C6" w:rsidRDefault="003C2E5A" w:rsidP="003C2E5A">
      <w:pPr>
        <w:spacing w:after="0"/>
        <w:jc w:val="both"/>
        <w:rPr>
          <w:rFonts w:ascii="Arial" w:eastAsia="Times New Roman" w:hAnsi="Arial" w:cs="Arial"/>
          <w:bCs/>
          <w:sz w:val="22"/>
          <w:lang w:val="en-GB"/>
        </w:rPr>
      </w:pPr>
      <w:r w:rsidRPr="004F73C6">
        <w:rPr>
          <w:rFonts w:ascii="Arial" w:eastAsia="Times New Roman" w:hAnsi="Arial" w:cs="Arial"/>
          <w:bCs/>
          <w:sz w:val="22"/>
          <w:lang w:val="en-GB"/>
        </w:rPr>
        <w:t>There has, however, been a high level of exchange between the donor (Irish Aid) and HelpAge on the underlying logic of the framework</w:t>
      </w:r>
      <w:r w:rsidRPr="004F73C6">
        <w:rPr>
          <w:rStyle w:val="FootnoteReference"/>
          <w:rFonts w:ascii="Arial" w:eastAsia="Times New Roman" w:hAnsi="Arial" w:cs="Arial"/>
          <w:bCs/>
          <w:sz w:val="22"/>
          <w:lang w:val="en-GB"/>
        </w:rPr>
        <w:footnoteReference w:id="12"/>
      </w:r>
      <w:r w:rsidRPr="004F73C6">
        <w:rPr>
          <w:rFonts w:ascii="Arial" w:eastAsia="Times New Roman" w:hAnsi="Arial" w:cs="Arial"/>
          <w:bCs/>
          <w:sz w:val="22"/>
          <w:lang w:val="en-GB"/>
        </w:rPr>
        <w:t xml:space="preserve">. This dialogue has contributed to the design of the framework. However, evidence of ownership of the framework at country level is less strong. </w:t>
      </w:r>
    </w:p>
    <w:p w14:paraId="455815FB" w14:textId="77777777" w:rsidR="003C2E5A" w:rsidRPr="004F73C6" w:rsidRDefault="003C2E5A" w:rsidP="003C2E5A">
      <w:pPr>
        <w:spacing w:after="0"/>
        <w:jc w:val="both"/>
        <w:rPr>
          <w:rFonts w:ascii="Arial" w:eastAsia="Times New Roman" w:hAnsi="Arial" w:cs="Arial"/>
          <w:bCs/>
          <w:sz w:val="22"/>
          <w:lang w:val="en-GB"/>
        </w:rPr>
      </w:pPr>
    </w:p>
    <w:p w14:paraId="5F501DE7" w14:textId="3D8DAE6E" w:rsidR="003C2E5A" w:rsidRPr="004F73C6" w:rsidRDefault="003C2E5A" w:rsidP="003C2E5A">
      <w:pPr>
        <w:autoSpaceDE w:val="0"/>
        <w:autoSpaceDN w:val="0"/>
        <w:adjustRightInd w:val="0"/>
        <w:spacing w:after="0"/>
        <w:jc w:val="both"/>
        <w:rPr>
          <w:rFonts w:ascii="Arial" w:eastAsia="Times New Roman" w:hAnsi="Arial" w:cs="Arial"/>
          <w:bCs/>
          <w:sz w:val="22"/>
          <w:lang w:val="en-GB"/>
        </w:rPr>
      </w:pPr>
      <w:r w:rsidRPr="004F73C6">
        <w:rPr>
          <w:rFonts w:ascii="Arial" w:eastAsia="Times New Roman" w:hAnsi="Arial" w:cs="Arial"/>
          <w:bCs/>
          <w:sz w:val="22"/>
          <w:lang w:val="en-GB"/>
        </w:rPr>
        <w:t xml:space="preserve">The overall impression is that much of the </w:t>
      </w:r>
      <w:r w:rsidR="006A3751" w:rsidRPr="004F73C6">
        <w:rPr>
          <w:rFonts w:ascii="Arial" w:eastAsia="Times New Roman" w:hAnsi="Arial" w:cs="Arial"/>
          <w:bCs/>
          <w:sz w:val="22"/>
          <w:lang w:val="en-GB"/>
        </w:rPr>
        <w:t xml:space="preserve">effort to support formal </w:t>
      </w:r>
      <w:r w:rsidRPr="004F73C6">
        <w:rPr>
          <w:rFonts w:ascii="Arial" w:eastAsia="Times New Roman" w:hAnsi="Arial" w:cs="Arial"/>
          <w:bCs/>
          <w:sz w:val="22"/>
          <w:lang w:val="en-GB"/>
        </w:rPr>
        <w:t xml:space="preserve">results-based management </w:t>
      </w:r>
      <w:r w:rsidR="00541B14" w:rsidRPr="004F73C6">
        <w:rPr>
          <w:rFonts w:ascii="Arial" w:eastAsia="Times New Roman" w:hAnsi="Arial" w:cs="Arial"/>
          <w:bCs/>
          <w:sz w:val="22"/>
          <w:lang w:val="en-GB"/>
        </w:rPr>
        <w:t xml:space="preserve">of </w:t>
      </w:r>
      <w:r w:rsidR="00136EC0" w:rsidRPr="004F73C6">
        <w:rPr>
          <w:rFonts w:ascii="Arial" w:eastAsia="Times New Roman" w:hAnsi="Arial" w:cs="Arial"/>
          <w:bCs/>
          <w:sz w:val="22"/>
          <w:lang w:val="en-GB"/>
        </w:rPr>
        <w:t xml:space="preserve">the </w:t>
      </w:r>
      <w:r w:rsidRPr="004F73C6">
        <w:rPr>
          <w:rFonts w:ascii="Arial" w:eastAsia="Times New Roman" w:hAnsi="Arial" w:cs="Arial"/>
          <w:bCs/>
          <w:sz w:val="22"/>
          <w:lang w:val="en-GB"/>
        </w:rPr>
        <w:t>programme has been on the development and refinement of the results framework at global level. At the country level, the emphasis has been on collecting data to be entered into the results framework for upward reporting</w:t>
      </w:r>
      <w:r w:rsidR="00B80424" w:rsidRPr="004F73C6">
        <w:rPr>
          <w:rFonts w:ascii="Arial" w:eastAsia="Times New Roman" w:hAnsi="Arial" w:cs="Arial"/>
          <w:bCs/>
          <w:sz w:val="22"/>
          <w:lang w:val="en-GB"/>
        </w:rPr>
        <w:t xml:space="preserve"> (with a focus on the donor as the primary user)</w:t>
      </w:r>
      <w:r w:rsidRPr="004F73C6">
        <w:rPr>
          <w:rFonts w:ascii="Arial" w:eastAsia="Times New Roman" w:hAnsi="Arial" w:cs="Arial"/>
          <w:bCs/>
          <w:sz w:val="22"/>
          <w:lang w:val="en-GB"/>
        </w:rPr>
        <w:t xml:space="preserve">. There is </w:t>
      </w:r>
      <w:r w:rsidR="00B819FC" w:rsidRPr="004F73C6">
        <w:rPr>
          <w:rFonts w:ascii="Arial" w:eastAsia="Times New Roman" w:hAnsi="Arial" w:cs="Arial"/>
          <w:bCs/>
          <w:sz w:val="22"/>
          <w:lang w:val="en-GB"/>
        </w:rPr>
        <w:t xml:space="preserve">little </w:t>
      </w:r>
      <w:r w:rsidRPr="004F73C6">
        <w:rPr>
          <w:rFonts w:ascii="Arial" w:eastAsia="Times New Roman" w:hAnsi="Arial" w:cs="Arial"/>
          <w:bCs/>
          <w:sz w:val="22"/>
          <w:lang w:val="en-GB"/>
        </w:rPr>
        <w:t xml:space="preserve">evidence of ‘managing for results’ in the form of using </w:t>
      </w:r>
      <w:r w:rsidR="00B819FC" w:rsidRPr="004F73C6">
        <w:rPr>
          <w:rFonts w:ascii="Arial" w:eastAsia="Times New Roman" w:hAnsi="Arial" w:cs="Arial"/>
          <w:bCs/>
          <w:sz w:val="22"/>
          <w:lang w:val="en-GB"/>
        </w:rPr>
        <w:t xml:space="preserve">the </w:t>
      </w:r>
      <w:r w:rsidRPr="004F73C6">
        <w:rPr>
          <w:rFonts w:ascii="Arial" w:eastAsia="Times New Roman" w:hAnsi="Arial" w:cs="Arial"/>
          <w:bCs/>
          <w:sz w:val="22"/>
          <w:lang w:val="en-GB"/>
        </w:rPr>
        <w:t xml:space="preserve">information </w:t>
      </w:r>
      <w:r w:rsidR="00DE5D72" w:rsidRPr="004F73C6">
        <w:rPr>
          <w:rFonts w:ascii="Arial" w:eastAsia="Times New Roman" w:hAnsi="Arial" w:cs="Arial"/>
          <w:bCs/>
          <w:sz w:val="22"/>
          <w:lang w:val="en-GB"/>
        </w:rPr>
        <w:t xml:space="preserve">entered into </w:t>
      </w:r>
      <w:r w:rsidRPr="004F73C6">
        <w:rPr>
          <w:rFonts w:ascii="Arial" w:eastAsia="Times New Roman" w:hAnsi="Arial" w:cs="Arial"/>
          <w:bCs/>
          <w:sz w:val="22"/>
          <w:lang w:val="en-GB"/>
        </w:rPr>
        <w:t xml:space="preserve">the results framework for learning and improvement at programme or country level. </w:t>
      </w:r>
    </w:p>
    <w:p w14:paraId="1F9815AA" w14:textId="77777777" w:rsidR="003C2E5A" w:rsidRPr="004F73C6" w:rsidRDefault="003C2E5A" w:rsidP="003C2E5A">
      <w:pPr>
        <w:autoSpaceDE w:val="0"/>
        <w:autoSpaceDN w:val="0"/>
        <w:adjustRightInd w:val="0"/>
        <w:spacing w:after="0"/>
        <w:jc w:val="both"/>
        <w:rPr>
          <w:rFonts w:ascii="Arial" w:eastAsia="Times New Roman" w:hAnsi="Arial" w:cs="Arial"/>
          <w:bCs/>
          <w:sz w:val="22"/>
          <w:lang w:val="en-GB"/>
        </w:rPr>
      </w:pPr>
    </w:p>
    <w:p w14:paraId="2883E011" w14:textId="3EE2A73A" w:rsidR="003C2E5A" w:rsidRPr="004F73C6" w:rsidRDefault="003C2E5A" w:rsidP="003C2E5A">
      <w:pPr>
        <w:autoSpaceDE w:val="0"/>
        <w:autoSpaceDN w:val="0"/>
        <w:adjustRightInd w:val="0"/>
        <w:spacing w:after="0"/>
        <w:jc w:val="both"/>
        <w:rPr>
          <w:rFonts w:ascii="Arial" w:eastAsia="Times New Roman" w:hAnsi="Arial" w:cs="Arial"/>
          <w:bCs/>
          <w:sz w:val="22"/>
          <w:lang w:val="en-GB"/>
        </w:rPr>
      </w:pPr>
      <w:r w:rsidRPr="004F73C6">
        <w:rPr>
          <w:rFonts w:ascii="Arial" w:eastAsia="Times New Roman" w:hAnsi="Arial" w:cs="Arial"/>
          <w:bCs/>
          <w:sz w:val="22"/>
          <w:lang w:val="en-GB"/>
        </w:rPr>
        <w:t xml:space="preserve">Further challenges to the use of the results framework include limits in the capacity of partners to collect data, the difficulty of predicting policy outcomes (e.g. timing of legislation), and the need at country level </w:t>
      </w:r>
      <w:r w:rsidR="00F25794" w:rsidRPr="004F73C6">
        <w:rPr>
          <w:rFonts w:ascii="Arial" w:eastAsia="Times New Roman" w:hAnsi="Arial" w:cs="Arial"/>
          <w:bCs/>
          <w:sz w:val="22"/>
          <w:lang w:val="en-GB"/>
        </w:rPr>
        <w:t xml:space="preserve">for flexibility </w:t>
      </w:r>
      <w:r w:rsidRPr="004F73C6">
        <w:rPr>
          <w:rFonts w:ascii="Arial" w:eastAsia="Times New Roman" w:hAnsi="Arial" w:cs="Arial"/>
          <w:bCs/>
          <w:sz w:val="22"/>
          <w:lang w:val="en-GB"/>
        </w:rPr>
        <w:t>to respond to national priorities. This suggests a need to continually revise the framework in order to remain effective. This task is complex and certainly not cost-neutral in terms of input of time by programme staff and M&amp;E technical support.</w:t>
      </w:r>
    </w:p>
    <w:p w14:paraId="6637C6B0" w14:textId="77777777" w:rsidR="003C2E5A" w:rsidRPr="004F73C6" w:rsidRDefault="003C2E5A" w:rsidP="003C2E5A">
      <w:pPr>
        <w:autoSpaceDE w:val="0"/>
        <w:autoSpaceDN w:val="0"/>
        <w:adjustRightInd w:val="0"/>
        <w:spacing w:after="0"/>
        <w:jc w:val="both"/>
        <w:rPr>
          <w:rFonts w:ascii="Arial" w:eastAsia="Times New Roman" w:hAnsi="Arial" w:cs="Arial"/>
          <w:bCs/>
          <w:sz w:val="22"/>
          <w:lang w:val="en-GB"/>
        </w:rPr>
      </w:pPr>
    </w:p>
    <w:p w14:paraId="28069F01" w14:textId="1BDC955B" w:rsidR="005A5A27" w:rsidRPr="004F73C6" w:rsidRDefault="005A5A27" w:rsidP="005A5A27">
      <w:pPr>
        <w:jc w:val="both"/>
        <w:rPr>
          <w:rFonts w:ascii="Arial" w:eastAsia="Times New Roman" w:hAnsi="Arial" w:cs="Arial"/>
          <w:bCs/>
          <w:sz w:val="22"/>
          <w:lang w:val="en-GB"/>
        </w:rPr>
      </w:pPr>
      <w:r w:rsidRPr="004F73C6">
        <w:rPr>
          <w:rFonts w:ascii="Arial" w:eastAsia="Times New Roman" w:hAnsi="Arial" w:cs="Arial"/>
          <w:bCs/>
          <w:sz w:val="22"/>
          <w:lang w:val="en-GB"/>
        </w:rPr>
        <w:t xml:space="preserve">In short, </w:t>
      </w:r>
      <w:r w:rsidR="00303A4F" w:rsidRPr="004F73C6">
        <w:rPr>
          <w:rFonts w:ascii="Arial" w:eastAsia="Times New Roman" w:hAnsi="Arial" w:cs="Arial"/>
          <w:bCs/>
          <w:sz w:val="22"/>
          <w:lang w:val="en-GB"/>
        </w:rPr>
        <w:t xml:space="preserve">the complexity of the framework </w:t>
      </w:r>
      <w:r w:rsidRPr="004F73C6">
        <w:rPr>
          <w:rFonts w:ascii="Arial" w:eastAsia="Times New Roman" w:hAnsi="Arial" w:cs="Arial"/>
          <w:bCs/>
          <w:sz w:val="22"/>
          <w:lang w:val="en-GB"/>
        </w:rPr>
        <w:t xml:space="preserve">has obscured underlying theories of change, and there is weak evidence of learning from </w:t>
      </w:r>
      <w:r w:rsidR="009B5ACE" w:rsidRPr="004F73C6">
        <w:rPr>
          <w:rFonts w:ascii="Arial" w:eastAsia="Times New Roman" w:hAnsi="Arial" w:cs="Arial"/>
          <w:bCs/>
          <w:sz w:val="22"/>
          <w:lang w:val="en-GB"/>
        </w:rPr>
        <w:t xml:space="preserve">the results recorded </w:t>
      </w:r>
      <w:r w:rsidRPr="004F73C6">
        <w:rPr>
          <w:rFonts w:ascii="Arial" w:eastAsia="Times New Roman" w:hAnsi="Arial" w:cs="Arial"/>
          <w:bCs/>
          <w:sz w:val="22"/>
          <w:lang w:val="en-GB"/>
        </w:rPr>
        <w:t>at country level. To date, the framework has been used largely to record results</w:t>
      </w:r>
      <w:r w:rsidR="006C6785" w:rsidRPr="004F73C6">
        <w:rPr>
          <w:rFonts w:ascii="Arial" w:eastAsia="Times New Roman" w:hAnsi="Arial" w:cs="Arial"/>
          <w:bCs/>
          <w:sz w:val="22"/>
          <w:lang w:val="en-GB"/>
        </w:rPr>
        <w:t xml:space="preserve"> for external needs</w:t>
      </w:r>
      <w:r w:rsidRPr="004F73C6">
        <w:rPr>
          <w:rFonts w:ascii="Arial" w:eastAsia="Times New Roman" w:hAnsi="Arial" w:cs="Arial"/>
          <w:bCs/>
          <w:sz w:val="22"/>
          <w:lang w:val="en-GB"/>
        </w:rPr>
        <w:t>.</w:t>
      </w:r>
    </w:p>
    <w:p w14:paraId="1E028CDC" w14:textId="77777777" w:rsidR="005A5A27" w:rsidRPr="004F73C6" w:rsidRDefault="005A5A27" w:rsidP="003C2E5A">
      <w:pPr>
        <w:spacing w:after="0"/>
        <w:jc w:val="both"/>
        <w:rPr>
          <w:rFonts w:ascii="Arial" w:eastAsia="Times New Roman" w:hAnsi="Arial" w:cs="Arial"/>
          <w:bCs/>
          <w:sz w:val="22"/>
          <w:lang w:val="en-GB"/>
        </w:rPr>
      </w:pPr>
    </w:p>
    <w:p w14:paraId="04CE37F7" w14:textId="0899AC49" w:rsidR="003C2E5A" w:rsidRPr="004F73C6" w:rsidRDefault="003C2E5A" w:rsidP="003C2E5A">
      <w:pPr>
        <w:spacing w:after="0"/>
        <w:jc w:val="both"/>
        <w:rPr>
          <w:rFonts w:ascii="Arial" w:eastAsia="Times New Roman" w:hAnsi="Arial" w:cs="Arial"/>
          <w:bCs/>
          <w:sz w:val="22"/>
          <w:lang w:val="en-GB"/>
        </w:rPr>
      </w:pPr>
      <w:r w:rsidRPr="004F73C6">
        <w:rPr>
          <w:rFonts w:ascii="Arial" w:eastAsia="Times New Roman" w:hAnsi="Arial" w:cs="Arial"/>
          <w:bCs/>
          <w:sz w:val="22"/>
          <w:lang w:val="en-GB"/>
        </w:rPr>
        <w:t>Subsequent to the review, the results framework has been reformatted. The version at the time of writing includes two worksheets – the first of which outlines methods for data collection and analysis</w:t>
      </w:r>
      <w:r w:rsidRPr="004F73C6">
        <w:rPr>
          <w:rStyle w:val="FootnoteReference"/>
          <w:rFonts w:ascii="Arial" w:eastAsia="Times New Roman" w:hAnsi="Arial" w:cs="Arial"/>
          <w:bCs/>
          <w:sz w:val="22"/>
          <w:lang w:val="en-GB"/>
        </w:rPr>
        <w:footnoteReference w:id="13"/>
      </w:r>
      <w:r w:rsidRPr="004F73C6">
        <w:rPr>
          <w:rFonts w:ascii="Arial" w:eastAsia="Times New Roman" w:hAnsi="Arial" w:cs="Arial"/>
          <w:bCs/>
          <w:sz w:val="22"/>
          <w:lang w:val="en-GB"/>
        </w:rPr>
        <w:t xml:space="preserve">, while the second shows baseline values and progress actually recorded against each of the milestones, together with explanations for variance. This should assist in providing an overall picture. </w:t>
      </w:r>
      <w:r w:rsidR="006D2AF5" w:rsidRPr="004F73C6">
        <w:rPr>
          <w:rFonts w:ascii="Arial" w:eastAsia="Times New Roman" w:hAnsi="Arial" w:cs="Arial"/>
          <w:bCs/>
          <w:sz w:val="22"/>
          <w:lang w:val="en-GB"/>
        </w:rPr>
        <w:t xml:space="preserve">However, </w:t>
      </w:r>
      <w:r w:rsidRPr="004F73C6">
        <w:rPr>
          <w:rFonts w:ascii="Arial" w:eastAsia="Times New Roman" w:hAnsi="Arial" w:cs="Arial"/>
          <w:bCs/>
          <w:sz w:val="22"/>
          <w:lang w:val="en-GB"/>
        </w:rPr>
        <w:t>it does not yet address the challenges faced in making optimum use of the results framework to support learning and management at country level.</w:t>
      </w:r>
    </w:p>
    <w:p w14:paraId="687489FC" w14:textId="09D330D5" w:rsidR="00A025D0" w:rsidRPr="004F73C6" w:rsidRDefault="00EF7C3F" w:rsidP="00487AA9">
      <w:pPr>
        <w:pStyle w:val="Heading1"/>
        <w:rPr>
          <w:rFonts w:eastAsia="Times New Roman"/>
          <w:lang w:val="en-GB"/>
        </w:rPr>
      </w:pPr>
      <w:bookmarkStart w:id="7" w:name="_Toc402974752"/>
      <w:bookmarkEnd w:id="0"/>
      <w:r w:rsidRPr="004F73C6">
        <w:rPr>
          <w:rFonts w:eastAsia="Times New Roman"/>
          <w:lang w:val="en-GB"/>
        </w:rPr>
        <w:t xml:space="preserve">Internal </w:t>
      </w:r>
      <w:r w:rsidR="00523679" w:rsidRPr="004F73C6">
        <w:rPr>
          <w:rFonts w:eastAsia="Times New Roman"/>
          <w:lang w:val="en-GB"/>
        </w:rPr>
        <w:t>c</w:t>
      </w:r>
      <w:r w:rsidR="0004113A" w:rsidRPr="004F73C6">
        <w:rPr>
          <w:rFonts w:eastAsia="Times New Roman"/>
          <w:lang w:val="en-GB"/>
        </w:rPr>
        <w:t xml:space="preserve">o-ordination and </w:t>
      </w:r>
      <w:r w:rsidR="00523679" w:rsidRPr="004F73C6">
        <w:rPr>
          <w:rFonts w:eastAsia="Times New Roman"/>
          <w:lang w:val="en-GB"/>
        </w:rPr>
        <w:t>c</w:t>
      </w:r>
      <w:r w:rsidR="00FD2FF8" w:rsidRPr="004F73C6">
        <w:rPr>
          <w:rFonts w:eastAsia="Times New Roman"/>
          <w:lang w:val="en-GB"/>
        </w:rPr>
        <w:t>ommunication</w:t>
      </w:r>
      <w:bookmarkEnd w:id="7"/>
    </w:p>
    <w:p w14:paraId="0D864485" w14:textId="7C654A5C" w:rsidR="00C02B1B" w:rsidRPr="004F73C6" w:rsidRDefault="002908B3" w:rsidP="00C02B1B">
      <w:pPr>
        <w:jc w:val="both"/>
        <w:rPr>
          <w:rFonts w:ascii="Arial" w:eastAsia="Times New Roman" w:hAnsi="Arial" w:cs="Arial"/>
          <w:bCs/>
          <w:sz w:val="22"/>
          <w:lang w:val="en-GB"/>
        </w:rPr>
      </w:pPr>
      <w:r w:rsidRPr="004F73C6">
        <w:rPr>
          <w:rFonts w:ascii="Arial" w:eastAsia="Times New Roman" w:hAnsi="Arial" w:cs="Arial"/>
          <w:bCs/>
          <w:sz w:val="22"/>
          <w:lang w:val="en-GB"/>
        </w:rPr>
        <w:t>T</w:t>
      </w:r>
      <w:r w:rsidR="00C02B1B" w:rsidRPr="004F73C6">
        <w:rPr>
          <w:rFonts w:ascii="Arial" w:eastAsia="Times New Roman" w:hAnsi="Arial" w:cs="Arial"/>
          <w:bCs/>
          <w:sz w:val="22"/>
          <w:lang w:val="en-GB"/>
        </w:rPr>
        <w:t xml:space="preserve">he HelpAge Pretoria office holds responsibility for the overall management of the AFFORD programme, while communication with Irish Aid </w:t>
      </w:r>
      <w:r w:rsidR="001E77A7" w:rsidRPr="004F73C6">
        <w:rPr>
          <w:rFonts w:ascii="Arial" w:eastAsia="Times New Roman" w:hAnsi="Arial" w:cs="Arial"/>
          <w:bCs/>
          <w:sz w:val="22"/>
          <w:lang w:val="en-GB"/>
        </w:rPr>
        <w:t xml:space="preserve">at the operational level is led by </w:t>
      </w:r>
      <w:r w:rsidR="00C02B1B" w:rsidRPr="004F73C6">
        <w:rPr>
          <w:rFonts w:ascii="Arial" w:eastAsia="Times New Roman" w:hAnsi="Arial" w:cs="Arial"/>
          <w:bCs/>
          <w:sz w:val="22"/>
          <w:lang w:val="en-GB"/>
        </w:rPr>
        <w:t xml:space="preserve">the Global Programme Manager based in London. </w:t>
      </w:r>
    </w:p>
    <w:p w14:paraId="72FF5CAF" w14:textId="59EC2EB3" w:rsidR="00C02B1B" w:rsidRPr="004F73C6" w:rsidRDefault="00C02B1B" w:rsidP="00C02B1B">
      <w:pPr>
        <w:jc w:val="both"/>
        <w:rPr>
          <w:rFonts w:ascii="Arial" w:eastAsia="Times New Roman" w:hAnsi="Arial" w:cs="Arial"/>
          <w:bCs/>
          <w:sz w:val="22"/>
          <w:lang w:val="en-GB"/>
        </w:rPr>
      </w:pPr>
      <w:r w:rsidRPr="004F73C6">
        <w:rPr>
          <w:rFonts w:ascii="Arial" w:eastAsia="Times New Roman" w:hAnsi="Arial" w:cs="Arial"/>
          <w:bCs/>
          <w:sz w:val="22"/>
          <w:lang w:val="en-GB"/>
        </w:rPr>
        <w:t xml:space="preserve">During the first phase of the programme, the </w:t>
      </w:r>
      <w:r w:rsidR="00C30693" w:rsidRPr="004F73C6">
        <w:rPr>
          <w:rFonts w:ascii="Arial" w:eastAsia="Times New Roman" w:hAnsi="Arial" w:cs="Arial"/>
          <w:bCs/>
          <w:i/>
          <w:sz w:val="22"/>
          <w:lang w:val="en-GB"/>
        </w:rPr>
        <w:t>South Africa</w:t>
      </w:r>
      <w:r w:rsidRPr="004F73C6">
        <w:rPr>
          <w:rFonts w:ascii="Arial" w:eastAsia="Times New Roman" w:hAnsi="Arial" w:cs="Arial"/>
          <w:bCs/>
          <w:sz w:val="22"/>
          <w:lang w:val="en-GB"/>
        </w:rPr>
        <w:t xml:space="preserve"> office </w:t>
      </w:r>
      <w:r w:rsidR="00491546" w:rsidRPr="004F73C6">
        <w:rPr>
          <w:rFonts w:ascii="Arial" w:eastAsia="Times New Roman" w:hAnsi="Arial" w:cs="Arial"/>
          <w:bCs/>
          <w:sz w:val="22"/>
          <w:lang w:val="en-GB"/>
        </w:rPr>
        <w:t xml:space="preserve">took </w:t>
      </w:r>
      <w:r w:rsidRPr="004F73C6">
        <w:rPr>
          <w:rFonts w:ascii="Arial" w:eastAsia="Times New Roman" w:hAnsi="Arial" w:cs="Arial"/>
          <w:bCs/>
          <w:sz w:val="22"/>
          <w:lang w:val="en-GB"/>
        </w:rPr>
        <w:t xml:space="preserve">the lead in co-ordinating cross-regional events, while reporting processes were led in practice by London. The appointment of a new programme manager in </w:t>
      </w:r>
      <w:r w:rsidR="00C30693" w:rsidRPr="004F73C6">
        <w:rPr>
          <w:rFonts w:ascii="Arial" w:eastAsia="Times New Roman" w:hAnsi="Arial" w:cs="Arial"/>
          <w:bCs/>
          <w:i/>
          <w:sz w:val="22"/>
          <w:lang w:val="en-GB"/>
        </w:rPr>
        <w:t>South Africa</w:t>
      </w:r>
      <w:r w:rsidRPr="004F73C6">
        <w:rPr>
          <w:rFonts w:ascii="Arial" w:eastAsia="Times New Roman" w:hAnsi="Arial" w:cs="Arial"/>
          <w:bCs/>
          <w:sz w:val="22"/>
          <w:lang w:val="en-GB"/>
        </w:rPr>
        <w:t xml:space="preserve"> provided an opportunity to strengthen the role of the </w:t>
      </w:r>
      <w:r w:rsidR="00C30693" w:rsidRPr="004F73C6">
        <w:rPr>
          <w:rFonts w:ascii="Arial" w:eastAsia="Times New Roman" w:hAnsi="Arial" w:cs="Arial"/>
          <w:bCs/>
          <w:i/>
          <w:sz w:val="22"/>
          <w:lang w:val="en-GB"/>
        </w:rPr>
        <w:t>South Africa</w:t>
      </w:r>
      <w:r w:rsidRPr="004F73C6">
        <w:rPr>
          <w:rFonts w:ascii="Arial" w:eastAsia="Times New Roman" w:hAnsi="Arial" w:cs="Arial"/>
          <w:bCs/>
          <w:sz w:val="22"/>
          <w:lang w:val="en-GB"/>
        </w:rPr>
        <w:t xml:space="preserve"> office in providing overall management and quality assurance. The job title was changed accordingly from ‘Regional Programme Coordinator – Southern Africa Regional Office’ to Regional Programme Manager – AFFORD (RPMA)’</w:t>
      </w:r>
    </w:p>
    <w:p w14:paraId="49939285" w14:textId="77777777" w:rsidR="00C02B1B" w:rsidRPr="004F73C6" w:rsidRDefault="00C02B1B" w:rsidP="00C02B1B">
      <w:pPr>
        <w:jc w:val="both"/>
        <w:rPr>
          <w:rFonts w:ascii="Arial" w:eastAsia="Times New Roman" w:hAnsi="Arial" w:cs="Arial"/>
          <w:bCs/>
          <w:sz w:val="22"/>
          <w:lang w:val="en-GB"/>
        </w:rPr>
      </w:pPr>
      <w:r w:rsidRPr="004F73C6">
        <w:rPr>
          <w:rFonts w:ascii="Arial" w:eastAsia="Times New Roman" w:hAnsi="Arial" w:cs="Arial"/>
          <w:bCs/>
          <w:sz w:val="22"/>
          <w:lang w:val="en-GB"/>
        </w:rPr>
        <w:t xml:space="preserve">The size and complexity of AFFORD suggests the need for clear procedures and effective communication across the region. </w:t>
      </w:r>
    </w:p>
    <w:p w14:paraId="3D68D65A" w14:textId="63139A34" w:rsidR="00C02B1B" w:rsidRPr="004F73C6" w:rsidRDefault="00C02B1B" w:rsidP="00C02B1B">
      <w:pPr>
        <w:jc w:val="both"/>
        <w:rPr>
          <w:rFonts w:ascii="Arial" w:eastAsia="Times New Roman" w:hAnsi="Arial" w:cs="Arial"/>
          <w:bCs/>
          <w:sz w:val="22"/>
          <w:lang w:val="en-GB"/>
        </w:rPr>
      </w:pPr>
      <w:r w:rsidRPr="004F73C6">
        <w:rPr>
          <w:rFonts w:ascii="Arial" w:eastAsia="Times New Roman" w:hAnsi="Arial" w:cs="Arial"/>
          <w:bCs/>
          <w:sz w:val="22"/>
          <w:lang w:val="en-GB"/>
        </w:rPr>
        <w:t xml:space="preserve">At the time of the review, the programme lacked a clear </w:t>
      </w:r>
      <w:r w:rsidR="00B229D9" w:rsidRPr="004F73C6">
        <w:rPr>
          <w:rFonts w:ascii="Arial" w:eastAsia="Times New Roman" w:hAnsi="Arial" w:cs="Arial"/>
          <w:bCs/>
          <w:sz w:val="22"/>
          <w:lang w:val="en-GB"/>
        </w:rPr>
        <w:t xml:space="preserve">overall </w:t>
      </w:r>
      <w:r w:rsidRPr="004F73C6">
        <w:rPr>
          <w:rFonts w:ascii="Arial" w:eastAsia="Times New Roman" w:hAnsi="Arial" w:cs="Arial"/>
          <w:bCs/>
          <w:sz w:val="22"/>
          <w:lang w:val="en-GB"/>
        </w:rPr>
        <w:t xml:space="preserve">organogram, or summary description of the roles of staff members </w:t>
      </w:r>
      <w:r w:rsidR="00491546" w:rsidRPr="004F73C6">
        <w:rPr>
          <w:rFonts w:ascii="Arial" w:eastAsia="Times New Roman" w:hAnsi="Arial" w:cs="Arial"/>
          <w:bCs/>
          <w:sz w:val="22"/>
          <w:lang w:val="en-GB"/>
        </w:rPr>
        <w:t>involved</w:t>
      </w:r>
      <w:r w:rsidRPr="004F73C6">
        <w:rPr>
          <w:rFonts w:ascii="Arial" w:eastAsia="Times New Roman" w:hAnsi="Arial" w:cs="Arial"/>
          <w:bCs/>
          <w:sz w:val="22"/>
          <w:lang w:val="en-GB"/>
        </w:rPr>
        <w:t xml:space="preserve">. </w:t>
      </w:r>
      <w:r w:rsidR="00B229D9" w:rsidRPr="004F73C6">
        <w:rPr>
          <w:rFonts w:ascii="Arial" w:eastAsia="Times New Roman" w:hAnsi="Arial" w:cs="Arial"/>
          <w:bCs/>
          <w:sz w:val="22"/>
          <w:lang w:val="en-GB"/>
        </w:rPr>
        <w:t>I</w:t>
      </w:r>
      <w:r w:rsidRPr="004F73C6">
        <w:rPr>
          <w:rFonts w:ascii="Arial" w:eastAsia="Times New Roman" w:hAnsi="Arial" w:cs="Arial"/>
          <w:bCs/>
          <w:sz w:val="22"/>
          <w:lang w:val="en-GB"/>
        </w:rPr>
        <w:t xml:space="preserve">mplementing offices </w:t>
      </w:r>
      <w:r w:rsidR="00B229D9" w:rsidRPr="004F73C6">
        <w:rPr>
          <w:rFonts w:ascii="Arial" w:eastAsia="Times New Roman" w:hAnsi="Arial" w:cs="Arial"/>
          <w:bCs/>
          <w:sz w:val="22"/>
          <w:lang w:val="en-GB"/>
        </w:rPr>
        <w:t xml:space="preserve">generally comprise similar </w:t>
      </w:r>
      <w:r w:rsidRPr="004F73C6">
        <w:rPr>
          <w:rFonts w:ascii="Arial" w:eastAsia="Times New Roman" w:hAnsi="Arial" w:cs="Arial"/>
          <w:bCs/>
          <w:sz w:val="22"/>
          <w:lang w:val="en-GB"/>
        </w:rPr>
        <w:t>positions (programme manager, finance office etc</w:t>
      </w:r>
      <w:r w:rsidR="0026135A">
        <w:rPr>
          <w:rFonts w:ascii="Arial" w:eastAsia="Times New Roman" w:hAnsi="Arial" w:cs="Arial"/>
          <w:bCs/>
          <w:sz w:val="22"/>
          <w:lang w:val="en-GB"/>
        </w:rPr>
        <w:t>.</w:t>
      </w:r>
      <w:r w:rsidRPr="004F73C6">
        <w:rPr>
          <w:rFonts w:ascii="Arial" w:eastAsia="Times New Roman" w:hAnsi="Arial" w:cs="Arial"/>
          <w:bCs/>
          <w:sz w:val="22"/>
          <w:lang w:val="en-GB"/>
        </w:rPr>
        <w:t xml:space="preserve">), </w:t>
      </w:r>
      <w:r w:rsidR="00B229D9" w:rsidRPr="004F73C6">
        <w:rPr>
          <w:rFonts w:ascii="Arial" w:eastAsia="Times New Roman" w:hAnsi="Arial" w:cs="Arial"/>
          <w:bCs/>
          <w:sz w:val="22"/>
          <w:lang w:val="en-GB"/>
        </w:rPr>
        <w:t xml:space="preserve">so </w:t>
      </w:r>
      <w:r w:rsidRPr="004F73C6">
        <w:rPr>
          <w:rFonts w:ascii="Arial" w:eastAsia="Times New Roman" w:hAnsi="Arial" w:cs="Arial"/>
          <w:bCs/>
          <w:sz w:val="22"/>
          <w:lang w:val="en-GB"/>
        </w:rPr>
        <w:t>the roles of these staff at national level can generally be inferred</w:t>
      </w:r>
      <w:r w:rsidR="00B229D9" w:rsidRPr="004F73C6">
        <w:rPr>
          <w:rFonts w:ascii="Arial" w:eastAsia="Times New Roman" w:hAnsi="Arial" w:cs="Arial"/>
          <w:bCs/>
          <w:sz w:val="22"/>
          <w:lang w:val="en-GB"/>
        </w:rPr>
        <w:t xml:space="preserve">. However, </w:t>
      </w:r>
      <w:r w:rsidRPr="004F73C6">
        <w:rPr>
          <w:rFonts w:ascii="Arial" w:eastAsia="Times New Roman" w:hAnsi="Arial" w:cs="Arial"/>
          <w:bCs/>
          <w:sz w:val="22"/>
          <w:lang w:val="en-GB"/>
        </w:rPr>
        <w:t>AFFORD’s multi-country structure adds a layer of complexity to budgeting and reporting. The review team was unable to find a document outlining reporting and budgeting processes at the AFFORD programme level, and some difficulties were expressed concerning timeliness and confusion over formats.</w:t>
      </w:r>
    </w:p>
    <w:p w14:paraId="79F412F5" w14:textId="28B916F9" w:rsidR="00C02B1B" w:rsidRPr="004F73C6" w:rsidRDefault="00C02B1B" w:rsidP="00C02B1B">
      <w:pPr>
        <w:jc w:val="both"/>
        <w:rPr>
          <w:rFonts w:ascii="Arial" w:eastAsia="Times New Roman" w:hAnsi="Arial" w:cs="Arial"/>
          <w:bCs/>
          <w:sz w:val="22"/>
          <w:lang w:val="en-GB"/>
        </w:rPr>
      </w:pPr>
      <w:r w:rsidRPr="004F73C6">
        <w:rPr>
          <w:rFonts w:ascii="Arial" w:eastAsia="Times New Roman" w:hAnsi="Arial" w:cs="Arial"/>
          <w:bCs/>
          <w:sz w:val="22"/>
          <w:lang w:val="en-GB"/>
        </w:rPr>
        <w:t xml:space="preserve">At the time of the review, and in recognition of this issue, the new AFFORD programme manager (based in </w:t>
      </w:r>
      <w:r w:rsidR="00C30693" w:rsidRPr="004F73C6">
        <w:rPr>
          <w:rFonts w:ascii="Arial" w:eastAsia="Times New Roman" w:hAnsi="Arial" w:cs="Arial"/>
          <w:bCs/>
          <w:i/>
          <w:sz w:val="22"/>
          <w:lang w:val="en-GB"/>
        </w:rPr>
        <w:t>South Africa</w:t>
      </w:r>
      <w:r w:rsidRPr="004F73C6">
        <w:rPr>
          <w:rFonts w:ascii="Arial" w:eastAsia="Times New Roman" w:hAnsi="Arial" w:cs="Arial"/>
          <w:bCs/>
          <w:sz w:val="22"/>
          <w:lang w:val="en-GB"/>
        </w:rPr>
        <w:t xml:space="preserve">) and regional finance manager (in </w:t>
      </w:r>
      <w:r w:rsidR="00C30693" w:rsidRPr="004F73C6">
        <w:rPr>
          <w:rFonts w:ascii="Arial" w:eastAsia="Times New Roman" w:hAnsi="Arial" w:cs="Arial"/>
          <w:bCs/>
          <w:i/>
          <w:sz w:val="22"/>
          <w:lang w:val="en-GB"/>
        </w:rPr>
        <w:t>Mozambique</w:t>
      </w:r>
      <w:r w:rsidRPr="004F73C6">
        <w:rPr>
          <w:rFonts w:ascii="Arial" w:eastAsia="Times New Roman" w:hAnsi="Arial" w:cs="Arial"/>
          <w:bCs/>
          <w:sz w:val="22"/>
          <w:lang w:val="en-GB"/>
        </w:rPr>
        <w:t>) were developing a protocol for quarterly review of budgets across the programme. This process had previously been handled only at country level, with central review across the programme taking place only an annual basis.</w:t>
      </w:r>
    </w:p>
    <w:p w14:paraId="23884029" w14:textId="36F4D06A" w:rsidR="00C02B1B" w:rsidRPr="004F73C6" w:rsidRDefault="00C02B1B" w:rsidP="00C02B1B">
      <w:pPr>
        <w:jc w:val="both"/>
        <w:rPr>
          <w:rFonts w:ascii="Arial" w:eastAsia="Times New Roman" w:hAnsi="Arial" w:cs="Arial"/>
          <w:bCs/>
          <w:sz w:val="22"/>
          <w:lang w:val="en-GB"/>
        </w:rPr>
      </w:pPr>
      <w:r w:rsidRPr="004F73C6">
        <w:rPr>
          <w:rFonts w:ascii="Arial" w:eastAsia="Times New Roman" w:hAnsi="Arial" w:cs="Arial"/>
          <w:bCs/>
          <w:sz w:val="22"/>
          <w:lang w:val="en-GB"/>
        </w:rPr>
        <w:t xml:space="preserve">A further area of ambiguity </w:t>
      </w:r>
      <w:r w:rsidR="00A45200" w:rsidRPr="004F73C6">
        <w:rPr>
          <w:rFonts w:ascii="Arial" w:eastAsia="Times New Roman" w:hAnsi="Arial" w:cs="Arial"/>
          <w:bCs/>
          <w:sz w:val="22"/>
          <w:lang w:val="en-GB"/>
        </w:rPr>
        <w:t xml:space="preserve">has </w:t>
      </w:r>
      <w:r w:rsidRPr="004F73C6">
        <w:rPr>
          <w:rFonts w:ascii="Arial" w:eastAsia="Times New Roman" w:hAnsi="Arial" w:cs="Arial"/>
          <w:bCs/>
          <w:sz w:val="22"/>
          <w:lang w:val="en-GB"/>
        </w:rPr>
        <w:t>conce</w:t>
      </w:r>
      <w:r w:rsidR="00A45200" w:rsidRPr="004F73C6">
        <w:rPr>
          <w:rFonts w:ascii="Arial" w:eastAsia="Times New Roman" w:hAnsi="Arial" w:cs="Arial"/>
          <w:bCs/>
          <w:sz w:val="22"/>
          <w:lang w:val="en-GB"/>
        </w:rPr>
        <w:t>rned</w:t>
      </w:r>
      <w:r w:rsidRPr="004F73C6">
        <w:rPr>
          <w:rFonts w:ascii="Arial" w:eastAsia="Times New Roman" w:hAnsi="Arial" w:cs="Arial"/>
          <w:bCs/>
          <w:sz w:val="22"/>
          <w:lang w:val="en-GB"/>
        </w:rPr>
        <w:t xml:space="preserve"> the mechanism for co-ordination with Age Action </w:t>
      </w:r>
      <w:r w:rsidR="00C30693" w:rsidRPr="004F73C6">
        <w:rPr>
          <w:rFonts w:ascii="Arial" w:eastAsia="Times New Roman" w:hAnsi="Arial" w:cs="Arial"/>
          <w:bCs/>
          <w:i/>
          <w:sz w:val="22"/>
          <w:lang w:val="en-GB"/>
        </w:rPr>
        <w:t>Ireland</w:t>
      </w:r>
      <w:r w:rsidRPr="004F73C6">
        <w:rPr>
          <w:rFonts w:ascii="Arial" w:eastAsia="Times New Roman" w:hAnsi="Arial" w:cs="Arial"/>
          <w:bCs/>
          <w:sz w:val="22"/>
          <w:lang w:val="en-GB"/>
        </w:rPr>
        <w:t xml:space="preserve">. </w:t>
      </w:r>
      <w:r w:rsidR="00A45200" w:rsidRPr="004F73C6">
        <w:rPr>
          <w:rFonts w:ascii="Arial" w:eastAsia="Times New Roman" w:hAnsi="Arial" w:cs="Arial"/>
          <w:bCs/>
          <w:sz w:val="22"/>
          <w:lang w:val="en-GB"/>
        </w:rPr>
        <w:t>C</w:t>
      </w:r>
      <w:r w:rsidRPr="004F73C6">
        <w:rPr>
          <w:rFonts w:ascii="Arial" w:eastAsia="Times New Roman" w:hAnsi="Arial" w:cs="Arial"/>
          <w:bCs/>
          <w:sz w:val="22"/>
          <w:lang w:val="en-GB"/>
        </w:rPr>
        <w:t>ommunication to date</w:t>
      </w:r>
      <w:r w:rsidR="00C14FA2">
        <w:rPr>
          <w:rFonts w:ascii="Arial" w:eastAsia="Times New Roman" w:hAnsi="Arial" w:cs="Arial"/>
          <w:bCs/>
          <w:sz w:val="22"/>
          <w:lang w:val="en-GB"/>
        </w:rPr>
        <w:t xml:space="preserve"> has</w:t>
      </w:r>
      <w:r w:rsidRPr="004F73C6">
        <w:rPr>
          <w:rFonts w:ascii="Arial" w:eastAsia="Times New Roman" w:hAnsi="Arial" w:cs="Arial"/>
          <w:bCs/>
          <w:sz w:val="22"/>
          <w:lang w:val="en-GB"/>
        </w:rPr>
        <w:t xml:space="preserve"> been </w:t>
      </w:r>
      <w:r w:rsidR="00A45200" w:rsidRPr="004F73C6">
        <w:rPr>
          <w:rFonts w:ascii="Arial" w:eastAsia="Times New Roman" w:hAnsi="Arial" w:cs="Arial"/>
          <w:bCs/>
          <w:sz w:val="22"/>
          <w:lang w:val="en-GB"/>
        </w:rPr>
        <w:t xml:space="preserve">primarily </w:t>
      </w:r>
      <w:r w:rsidRPr="004F73C6">
        <w:rPr>
          <w:rFonts w:ascii="Arial" w:eastAsia="Times New Roman" w:hAnsi="Arial" w:cs="Arial"/>
          <w:bCs/>
          <w:sz w:val="22"/>
          <w:lang w:val="en-GB"/>
        </w:rPr>
        <w:t xml:space="preserve">between the Global Programmes Manager in London and the Ageing and Development Programme Officer in AAI. With the appointment of the new RPMA in </w:t>
      </w:r>
      <w:r w:rsidR="00C30693" w:rsidRPr="004F73C6">
        <w:rPr>
          <w:rFonts w:ascii="Arial" w:eastAsia="Times New Roman" w:hAnsi="Arial" w:cs="Arial"/>
          <w:bCs/>
          <w:i/>
          <w:sz w:val="22"/>
          <w:lang w:val="en-GB"/>
        </w:rPr>
        <w:t>South Africa</w:t>
      </w:r>
      <w:r w:rsidRPr="004F73C6">
        <w:rPr>
          <w:rFonts w:ascii="Arial" w:eastAsia="Times New Roman" w:hAnsi="Arial" w:cs="Arial"/>
          <w:bCs/>
          <w:sz w:val="22"/>
          <w:lang w:val="en-GB"/>
        </w:rPr>
        <w:t xml:space="preserve"> the intention was to re-orient the co-ordination/management link between Dublin and Pretoria, but </w:t>
      </w:r>
      <w:r w:rsidR="004B6A2E" w:rsidRPr="004F73C6">
        <w:rPr>
          <w:rFonts w:ascii="Arial" w:eastAsia="Times New Roman" w:hAnsi="Arial" w:cs="Arial"/>
          <w:bCs/>
          <w:sz w:val="22"/>
          <w:lang w:val="en-GB"/>
        </w:rPr>
        <w:t xml:space="preserve">at the time of the review </w:t>
      </w:r>
      <w:r w:rsidRPr="004F73C6">
        <w:rPr>
          <w:rFonts w:ascii="Arial" w:eastAsia="Times New Roman" w:hAnsi="Arial" w:cs="Arial"/>
          <w:bCs/>
          <w:sz w:val="22"/>
          <w:lang w:val="en-GB"/>
        </w:rPr>
        <w:t xml:space="preserve">this </w:t>
      </w:r>
      <w:r w:rsidR="004B6A2E" w:rsidRPr="004F73C6">
        <w:rPr>
          <w:rFonts w:ascii="Arial" w:eastAsia="Times New Roman" w:hAnsi="Arial" w:cs="Arial"/>
          <w:bCs/>
          <w:sz w:val="22"/>
          <w:lang w:val="en-GB"/>
        </w:rPr>
        <w:t xml:space="preserve">had </w:t>
      </w:r>
      <w:r w:rsidRPr="004F73C6">
        <w:rPr>
          <w:rFonts w:ascii="Arial" w:eastAsia="Times New Roman" w:hAnsi="Arial" w:cs="Arial"/>
          <w:bCs/>
          <w:sz w:val="22"/>
          <w:lang w:val="en-GB"/>
        </w:rPr>
        <w:t xml:space="preserve">yet to be </w:t>
      </w:r>
      <w:r w:rsidR="004B6A2E" w:rsidRPr="004F73C6">
        <w:rPr>
          <w:rFonts w:ascii="Arial" w:eastAsia="Times New Roman" w:hAnsi="Arial" w:cs="Arial"/>
          <w:bCs/>
          <w:sz w:val="22"/>
          <w:lang w:val="en-GB"/>
        </w:rPr>
        <w:t xml:space="preserve">fully </w:t>
      </w:r>
      <w:r w:rsidRPr="004F73C6">
        <w:rPr>
          <w:rFonts w:ascii="Arial" w:eastAsia="Times New Roman" w:hAnsi="Arial" w:cs="Arial"/>
          <w:bCs/>
          <w:sz w:val="22"/>
          <w:lang w:val="en-GB"/>
        </w:rPr>
        <w:t>established</w:t>
      </w:r>
      <w:r w:rsidR="004B6A2E" w:rsidRPr="004F73C6">
        <w:rPr>
          <w:rFonts w:ascii="Arial" w:eastAsia="Times New Roman" w:hAnsi="Arial" w:cs="Arial"/>
          <w:bCs/>
          <w:sz w:val="22"/>
          <w:lang w:val="en-GB"/>
        </w:rPr>
        <w:t>.</w:t>
      </w:r>
    </w:p>
    <w:p w14:paraId="4CD0C767" w14:textId="77412817" w:rsidR="00B11465" w:rsidRPr="004F73C6" w:rsidRDefault="00C02B1B" w:rsidP="00B11465">
      <w:pPr>
        <w:spacing w:after="0"/>
        <w:jc w:val="both"/>
        <w:rPr>
          <w:rFonts w:ascii="Arial" w:eastAsia="Times New Roman" w:hAnsi="Arial" w:cs="Arial"/>
          <w:bCs/>
          <w:sz w:val="22"/>
          <w:lang w:val="en-GB"/>
        </w:rPr>
      </w:pPr>
      <w:r w:rsidRPr="004F73C6">
        <w:rPr>
          <w:rFonts w:ascii="Arial" w:eastAsia="Times New Roman" w:hAnsi="Arial" w:cs="Arial"/>
          <w:bCs/>
          <w:sz w:val="22"/>
          <w:lang w:val="en-GB"/>
        </w:rPr>
        <w:lastRenderedPageBreak/>
        <w:t xml:space="preserve">Annual meetings are held each year which provide an opportunity to clarify administrative procedures, to share learning and to collaborate on joint-initiatives between different offices in the AFFORD programme. Representatives from all country programmes attend, including Age Action </w:t>
      </w:r>
      <w:r w:rsidR="00C30693" w:rsidRPr="004F73C6">
        <w:rPr>
          <w:rFonts w:ascii="Arial" w:eastAsia="Times New Roman" w:hAnsi="Arial" w:cs="Arial"/>
          <w:bCs/>
          <w:i/>
          <w:sz w:val="22"/>
          <w:lang w:val="en-GB"/>
        </w:rPr>
        <w:t>Ireland</w:t>
      </w:r>
      <w:r w:rsidRPr="004F73C6">
        <w:rPr>
          <w:rFonts w:ascii="Arial" w:eastAsia="Times New Roman" w:hAnsi="Arial" w:cs="Arial"/>
          <w:bCs/>
          <w:sz w:val="22"/>
          <w:lang w:val="en-GB"/>
        </w:rPr>
        <w:t xml:space="preserve">, plus technical support (regional M&amp;E Adviser, and members of the HelpAge Policy and Learning team), and the Global Programmes Manager. </w:t>
      </w:r>
      <w:r w:rsidR="00B11465" w:rsidRPr="004F73C6">
        <w:rPr>
          <w:rFonts w:ascii="Arial" w:eastAsia="Times New Roman" w:hAnsi="Arial" w:cs="Arial"/>
          <w:bCs/>
          <w:sz w:val="22"/>
          <w:lang w:val="en-GB"/>
        </w:rPr>
        <w:t>The programme had lacked substantial linkage on technical issues outside the annual meeting, except via technical advisers in London, suggesting that the potential for drawing out learning according to theme or sector has yet to be fully realized.</w:t>
      </w:r>
    </w:p>
    <w:p w14:paraId="3D1221D0" w14:textId="617B02D5" w:rsidR="00C02B1B" w:rsidRPr="004F73C6" w:rsidRDefault="00C02B1B" w:rsidP="00C02B1B">
      <w:pPr>
        <w:jc w:val="both"/>
        <w:rPr>
          <w:rFonts w:ascii="Arial" w:eastAsia="Times New Roman" w:hAnsi="Arial" w:cs="Arial"/>
          <w:bCs/>
          <w:sz w:val="22"/>
          <w:lang w:val="en-GB"/>
        </w:rPr>
      </w:pPr>
    </w:p>
    <w:p w14:paraId="3E56C5DB" w14:textId="7B09C563" w:rsidR="00CF68FE" w:rsidRPr="004F73C6" w:rsidRDefault="00AF1FC5" w:rsidP="00671452">
      <w:pPr>
        <w:jc w:val="both"/>
        <w:rPr>
          <w:rFonts w:ascii="Arial" w:eastAsia="Times New Roman" w:hAnsi="Arial" w:cs="Arial"/>
          <w:bCs/>
          <w:sz w:val="22"/>
          <w:lang w:val="en-GB"/>
        </w:rPr>
      </w:pPr>
      <w:r w:rsidRPr="004F73C6">
        <w:rPr>
          <w:rFonts w:ascii="Arial" w:eastAsia="Times New Roman" w:hAnsi="Arial" w:cs="Arial"/>
          <w:bCs/>
          <w:sz w:val="22"/>
          <w:lang w:val="en-GB"/>
        </w:rPr>
        <w:t xml:space="preserve">The review found communication and co-ordination with partners to </w:t>
      </w:r>
      <w:r w:rsidR="00917950" w:rsidRPr="004F73C6">
        <w:rPr>
          <w:rFonts w:ascii="Arial" w:eastAsia="Times New Roman" w:hAnsi="Arial" w:cs="Arial"/>
          <w:bCs/>
          <w:sz w:val="22"/>
          <w:lang w:val="en-GB"/>
        </w:rPr>
        <w:t>be variable</w:t>
      </w:r>
      <w:r w:rsidRPr="004F73C6">
        <w:rPr>
          <w:rFonts w:ascii="Arial" w:eastAsia="Times New Roman" w:hAnsi="Arial" w:cs="Arial"/>
          <w:bCs/>
          <w:sz w:val="22"/>
          <w:lang w:val="en-GB"/>
        </w:rPr>
        <w:t xml:space="preserve"> across </w:t>
      </w:r>
      <w:r w:rsidR="00917950" w:rsidRPr="004F73C6">
        <w:rPr>
          <w:rFonts w:ascii="Arial" w:eastAsia="Times New Roman" w:hAnsi="Arial" w:cs="Arial"/>
          <w:bCs/>
          <w:sz w:val="22"/>
          <w:lang w:val="en-GB"/>
        </w:rPr>
        <w:t xml:space="preserve">the programme. </w:t>
      </w:r>
      <w:r w:rsidR="002F2F84" w:rsidRPr="004F73C6">
        <w:rPr>
          <w:rFonts w:ascii="Arial" w:eastAsia="Times New Roman" w:hAnsi="Arial" w:cs="Arial"/>
          <w:bCs/>
          <w:sz w:val="22"/>
          <w:lang w:val="en-GB"/>
        </w:rPr>
        <w:t xml:space="preserve">The need for co-ordination is especially strong in contexts where partner capacity is weak, and the review suggests that </w:t>
      </w:r>
      <w:r w:rsidR="00F81AF2" w:rsidRPr="004F73C6">
        <w:rPr>
          <w:rFonts w:ascii="Arial" w:eastAsia="Times New Roman" w:hAnsi="Arial" w:cs="Arial"/>
          <w:bCs/>
          <w:sz w:val="22"/>
          <w:lang w:val="en-GB"/>
        </w:rPr>
        <w:t xml:space="preserve">the required level of </w:t>
      </w:r>
      <w:r w:rsidR="002F2F84" w:rsidRPr="004F73C6">
        <w:rPr>
          <w:rFonts w:ascii="Arial" w:eastAsia="Times New Roman" w:hAnsi="Arial" w:cs="Arial"/>
          <w:bCs/>
          <w:sz w:val="22"/>
          <w:lang w:val="en-GB"/>
        </w:rPr>
        <w:t xml:space="preserve">support </w:t>
      </w:r>
      <w:r w:rsidR="00F81AF2" w:rsidRPr="004F73C6">
        <w:rPr>
          <w:rFonts w:ascii="Arial" w:eastAsia="Times New Roman" w:hAnsi="Arial" w:cs="Arial"/>
          <w:bCs/>
          <w:sz w:val="22"/>
          <w:lang w:val="en-GB"/>
        </w:rPr>
        <w:t>was not always forthcoming.</w:t>
      </w:r>
      <w:r w:rsidR="002F2F84" w:rsidRPr="004F73C6">
        <w:rPr>
          <w:rFonts w:ascii="Arial" w:eastAsia="Times New Roman" w:hAnsi="Arial" w:cs="Arial"/>
          <w:bCs/>
          <w:sz w:val="22"/>
          <w:lang w:val="en-GB"/>
        </w:rPr>
        <w:t xml:space="preserve"> </w:t>
      </w:r>
      <w:r w:rsidR="00917950" w:rsidRPr="004F73C6">
        <w:rPr>
          <w:rFonts w:ascii="Arial" w:eastAsia="Times New Roman" w:hAnsi="Arial" w:cs="Arial"/>
          <w:bCs/>
          <w:i/>
          <w:sz w:val="22"/>
          <w:lang w:val="en-GB"/>
        </w:rPr>
        <w:t xml:space="preserve">In </w:t>
      </w:r>
      <w:r w:rsidR="00C30693" w:rsidRPr="004F73C6">
        <w:rPr>
          <w:rFonts w:ascii="Arial" w:eastAsia="Times New Roman" w:hAnsi="Arial" w:cs="Arial"/>
          <w:bCs/>
          <w:i/>
          <w:sz w:val="22"/>
          <w:lang w:val="en-GB"/>
        </w:rPr>
        <w:t>Mozambique</w:t>
      </w:r>
      <w:r w:rsidR="00917950" w:rsidRPr="004F73C6">
        <w:rPr>
          <w:rFonts w:ascii="Arial" w:eastAsia="Times New Roman" w:hAnsi="Arial" w:cs="Arial"/>
          <w:bCs/>
          <w:i/>
          <w:sz w:val="22"/>
          <w:lang w:val="en-GB"/>
        </w:rPr>
        <w:t xml:space="preserve"> </w:t>
      </w:r>
      <w:r w:rsidR="00917950" w:rsidRPr="004F73C6">
        <w:rPr>
          <w:rFonts w:ascii="Arial" w:eastAsia="Times New Roman" w:hAnsi="Arial" w:cs="Arial"/>
          <w:bCs/>
          <w:sz w:val="22"/>
          <w:lang w:val="en-GB"/>
        </w:rPr>
        <w:t xml:space="preserve">annual programme and planning meetings with partners were found to be a very effective mechanism for co-ordination, but the frequency of visits </w:t>
      </w:r>
      <w:r w:rsidR="001B146B" w:rsidRPr="004F73C6">
        <w:rPr>
          <w:rFonts w:ascii="Arial" w:eastAsia="Times New Roman" w:hAnsi="Arial" w:cs="Arial"/>
          <w:bCs/>
          <w:sz w:val="22"/>
          <w:lang w:val="en-GB"/>
        </w:rPr>
        <w:t xml:space="preserve">to partners </w:t>
      </w:r>
      <w:r w:rsidR="00917950" w:rsidRPr="004F73C6">
        <w:rPr>
          <w:rFonts w:ascii="Arial" w:eastAsia="Times New Roman" w:hAnsi="Arial" w:cs="Arial"/>
          <w:bCs/>
          <w:sz w:val="22"/>
          <w:lang w:val="en-GB"/>
        </w:rPr>
        <w:t xml:space="preserve">throughout the year was reported to have declined. There is a special challenge in </w:t>
      </w:r>
      <w:r w:rsidR="00C30693" w:rsidRPr="004F73C6">
        <w:rPr>
          <w:rFonts w:ascii="Arial" w:eastAsia="Times New Roman" w:hAnsi="Arial" w:cs="Arial"/>
          <w:bCs/>
          <w:i/>
          <w:sz w:val="22"/>
          <w:lang w:val="en-GB"/>
        </w:rPr>
        <w:t>Mozambique</w:t>
      </w:r>
      <w:r w:rsidR="00917950" w:rsidRPr="004F73C6">
        <w:rPr>
          <w:rFonts w:ascii="Arial" w:eastAsia="Times New Roman" w:hAnsi="Arial" w:cs="Arial"/>
          <w:bCs/>
          <w:sz w:val="22"/>
          <w:lang w:val="en-GB"/>
        </w:rPr>
        <w:t xml:space="preserve"> of the transition of </w:t>
      </w:r>
      <w:r w:rsidR="0084490E" w:rsidRPr="004F73C6">
        <w:rPr>
          <w:rFonts w:ascii="Arial" w:eastAsia="Times New Roman" w:hAnsi="Arial" w:cs="Arial"/>
          <w:bCs/>
          <w:sz w:val="22"/>
          <w:lang w:val="en-GB"/>
        </w:rPr>
        <w:t>some of the programme to a local partner (APITE)</w:t>
      </w:r>
      <w:r w:rsidR="00F81AF2" w:rsidRPr="004F73C6">
        <w:rPr>
          <w:rFonts w:ascii="Arial" w:eastAsia="Times New Roman" w:hAnsi="Arial" w:cs="Arial"/>
          <w:bCs/>
          <w:sz w:val="22"/>
          <w:lang w:val="en-GB"/>
        </w:rPr>
        <w:t>.</w:t>
      </w:r>
      <w:r w:rsidR="00E42C37" w:rsidRPr="004F73C6">
        <w:rPr>
          <w:rFonts w:ascii="Arial" w:eastAsia="Times New Roman" w:hAnsi="Arial" w:cs="Arial"/>
          <w:bCs/>
          <w:sz w:val="22"/>
          <w:lang w:val="en-GB"/>
        </w:rPr>
        <w:t xml:space="preserve"> In</w:t>
      </w:r>
      <w:r w:rsidR="00E42C37" w:rsidRPr="004F73C6">
        <w:rPr>
          <w:rFonts w:ascii="Arial" w:eastAsia="Times New Roman" w:hAnsi="Arial" w:cs="Arial"/>
          <w:bCs/>
          <w:i/>
          <w:sz w:val="22"/>
          <w:lang w:val="en-GB"/>
        </w:rPr>
        <w:t xml:space="preserve"> </w:t>
      </w:r>
      <w:r w:rsidR="00C30693" w:rsidRPr="004F73C6">
        <w:rPr>
          <w:rFonts w:ascii="Arial" w:eastAsia="Times New Roman" w:hAnsi="Arial" w:cs="Arial"/>
          <w:bCs/>
          <w:i/>
          <w:sz w:val="22"/>
          <w:lang w:val="en-GB"/>
        </w:rPr>
        <w:t>Tanzania</w:t>
      </w:r>
      <w:r w:rsidR="00E42C37" w:rsidRPr="004F73C6">
        <w:rPr>
          <w:rFonts w:ascii="Arial" w:eastAsia="Times New Roman" w:hAnsi="Arial" w:cs="Arial"/>
          <w:bCs/>
          <w:i/>
          <w:sz w:val="22"/>
          <w:lang w:val="en-GB"/>
        </w:rPr>
        <w:t xml:space="preserve"> </w:t>
      </w:r>
      <w:r w:rsidR="00BD5AC4" w:rsidRPr="004F73C6">
        <w:rPr>
          <w:rFonts w:ascii="Arial" w:eastAsia="Times New Roman" w:hAnsi="Arial" w:cs="Arial"/>
          <w:bCs/>
          <w:sz w:val="22"/>
          <w:lang w:val="en-GB"/>
        </w:rPr>
        <w:t xml:space="preserve">programme </w:t>
      </w:r>
      <w:r w:rsidR="00E42C37" w:rsidRPr="004F73C6">
        <w:rPr>
          <w:rFonts w:ascii="Arial" w:eastAsia="Times New Roman" w:hAnsi="Arial" w:cs="Arial"/>
          <w:bCs/>
          <w:sz w:val="22"/>
          <w:lang w:val="en-GB"/>
        </w:rPr>
        <w:t>partners are experienced</w:t>
      </w:r>
      <w:r w:rsidR="00BD5AC4" w:rsidRPr="004F73C6">
        <w:rPr>
          <w:rFonts w:ascii="Arial" w:eastAsia="Times New Roman" w:hAnsi="Arial" w:cs="Arial"/>
          <w:bCs/>
          <w:sz w:val="22"/>
          <w:lang w:val="en-GB"/>
        </w:rPr>
        <w:t xml:space="preserve">, and have benefitted from capacity building </w:t>
      </w:r>
      <w:r w:rsidR="002F2F84" w:rsidRPr="004F73C6">
        <w:rPr>
          <w:rFonts w:ascii="Arial" w:eastAsia="Times New Roman" w:hAnsi="Arial" w:cs="Arial"/>
          <w:bCs/>
          <w:sz w:val="22"/>
          <w:lang w:val="en-GB"/>
        </w:rPr>
        <w:t xml:space="preserve">provided by HelpAge </w:t>
      </w:r>
      <w:r w:rsidR="00BD5AC4" w:rsidRPr="004F73C6">
        <w:rPr>
          <w:rFonts w:ascii="Arial" w:eastAsia="Times New Roman" w:hAnsi="Arial" w:cs="Arial"/>
          <w:bCs/>
          <w:sz w:val="22"/>
          <w:lang w:val="en-GB"/>
        </w:rPr>
        <w:t>(including supporting staff in university training)</w:t>
      </w:r>
      <w:r w:rsidR="00F81AF2" w:rsidRPr="004F73C6">
        <w:rPr>
          <w:rFonts w:ascii="Arial" w:eastAsia="Times New Roman" w:hAnsi="Arial" w:cs="Arial"/>
          <w:bCs/>
          <w:sz w:val="22"/>
          <w:lang w:val="en-GB"/>
        </w:rPr>
        <w:t xml:space="preserve">. </w:t>
      </w:r>
    </w:p>
    <w:p w14:paraId="23193CBE" w14:textId="6FD9BFD7" w:rsidR="004F762E" w:rsidRPr="004F73C6" w:rsidRDefault="00E53F99" w:rsidP="00AD67C0">
      <w:pPr>
        <w:jc w:val="both"/>
        <w:rPr>
          <w:rFonts w:ascii="Arial" w:eastAsia="Times New Roman" w:hAnsi="Arial" w:cs="Arial"/>
          <w:bCs/>
          <w:sz w:val="22"/>
          <w:lang w:val="en-GB"/>
        </w:rPr>
      </w:pPr>
      <w:r w:rsidRPr="004F73C6">
        <w:rPr>
          <w:rFonts w:ascii="Arial" w:eastAsia="Times New Roman" w:hAnsi="Arial" w:cs="Arial"/>
          <w:bCs/>
          <w:sz w:val="22"/>
          <w:lang w:val="en-GB"/>
        </w:rPr>
        <w:t xml:space="preserve">At the time of the review, </w:t>
      </w:r>
      <w:r w:rsidR="00671452" w:rsidRPr="004F73C6">
        <w:rPr>
          <w:rFonts w:ascii="Arial" w:eastAsia="Times New Roman" w:hAnsi="Arial" w:cs="Arial"/>
          <w:bCs/>
          <w:sz w:val="22"/>
          <w:lang w:val="en-GB"/>
        </w:rPr>
        <w:t xml:space="preserve">funded partnerships </w:t>
      </w:r>
      <w:r w:rsidR="001B146B" w:rsidRPr="004F73C6">
        <w:rPr>
          <w:rFonts w:ascii="Arial" w:eastAsia="Times New Roman" w:hAnsi="Arial" w:cs="Arial"/>
          <w:bCs/>
          <w:sz w:val="22"/>
          <w:lang w:val="en-GB"/>
        </w:rPr>
        <w:t xml:space="preserve">for the AFFORD programme in </w:t>
      </w:r>
      <w:r w:rsidR="00C30693" w:rsidRPr="004F73C6">
        <w:rPr>
          <w:rFonts w:ascii="Arial" w:eastAsia="Times New Roman" w:hAnsi="Arial" w:cs="Arial"/>
          <w:bCs/>
          <w:i/>
          <w:sz w:val="22"/>
          <w:lang w:val="en-GB"/>
        </w:rPr>
        <w:t>South Africa</w:t>
      </w:r>
      <w:r w:rsidRPr="004F73C6">
        <w:rPr>
          <w:rFonts w:ascii="Arial" w:eastAsia="Times New Roman" w:hAnsi="Arial" w:cs="Arial"/>
          <w:bCs/>
          <w:sz w:val="22"/>
          <w:lang w:val="en-GB"/>
        </w:rPr>
        <w:t xml:space="preserve"> </w:t>
      </w:r>
      <w:r w:rsidR="00671452" w:rsidRPr="004F73C6">
        <w:rPr>
          <w:rFonts w:ascii="Arial" w:eastAsia="Times New Roman" w:hAnsi="Arial" w:cs="Arial"/>
          <w:bCs/>
          <w:sz w:val="22"/>
          <w:lang w:val="en-GB"/>
        </w:rPr>
        <w:t>had yet to be established</w:t>
      </w:r>
      <w:r w:rsidR="00AD67C0" w:rsidRPr="004F73C6">
        <w:rPr>
          <w:rFonts w:ascii="Arial" w:eastAsia="Times New Roman" w:hAnsi="Arial" w:cs="Arial"/>
          <w:bCs/>
          <w:sz w:val="22"/>
          <w:lang w:val="en-GB"/>
        </w:rPr>
        <w:t>.</w:t>
      </w:r>
      <w:r w:rsidR="00671452" w:rsidRPr="004F73C6">
        <w:rPr>
          <w:rFonts w:ascii="Arial" w:eastAsia="Times New Roman" w:hAnsi="Arial" w:cs="Arial"/>
          <w:bCs/>
          <w:sz w:val="22"/>
          <w:lang w:val="en-GB"/>
        </w:rPr>
        <w:t xml:space="preserve"> </w:t>
      </w:r>
      <w:r w:rsidR="00AD67C0" w:rsidRPr="004F73C6">
        <w:rPr>
          <w:rFonts w:ascii="Arial" w:eastAsia="Times New Roman" w:hAnsi="Arial" w:cs="Arial"/>
          <w:bCs/>
          <w:sz w:val="22"/>
          <w:lang w:val="en-GB"/>
        </w:rPr>
        <w:t xml:space="preserve">In </w:t>
      </w:r>
      <w:r w:rsidR="00C30693" w:rsidRPr="004F73C6">
        <w:rPr>
          <w:rFonts w:ascii="Arial" w:eastAsia="Times New Roman" w:hAnsi="Arial" w:cs="Arial"/>
          <w:bCs/>
          <w:i/>
          <w:sz w:val="22"/>
          <w:lang w:val="en-GB"/>
        </w:rPr>
        <w:t>Uganda</w:t>
      </w:r>
      <w:r w:rsidR="00AD67C0" w:rsidRPr="004F73C6">
        <w:rPr>
          <w:rFonts w:ascii="Arial" w:eastAsia="Times New Roman" w:hAnsi="Arial" w:cs="Arial"/>
          <w:bCs/>
          <w:sz w:val="22"/>
          <w:lang w:val="en-GB"/>
        </w:rPr>
        <w:t xml:space="preserve">, a high level of </w:t>
      </w:r>
      <w:r w:rsidR="00C12AAF" w:rsidRPr="004F73C6">
        <w:rPr>
          <w:rFonts w:ascii="Arial" w:eastAsia="Times New Roman" w:hAnsi="Arial" w:cs="Arial"/>
          <w:bCs/>
          <w:sz w:val="22"/>
          <w:lang w:val="en-GB"/>
        </w:rPr>
        <w:t xml:space="preserve">staff and partner changes </w:t>
      </w:r>
      <w:r w:rsidR="00AD67C0" w:rsidRPr="004F73C6">
        <w:rPr>
          <w:rFonts w:ascii="Arial" w:eastAsia="Times New Roman" w:hAnsi="Arial" w:cs="Arial"/>
          <w:bCs/>
          <w:sz w:val="22"/>
          <w:lang w:val="en-GB"/>
        </w:rPr>
        <w:t xml:space="preserve">had left </w:t>
      </w:r>
      <w:r w:rsidR="00AF1FC5" w:rsidRPr="004F73C6">
        <w:rPr>
          <w:rFonts w:ascii="Arial" w:eastAsia="Times New Roman" w:hAnsi="Arial" w:cs="Arial"/>
          <w:bCs/>
          <w:sz w:val="22"/>
          <w:lang w:val="en-GB"/>
        </w:rPr>
        <w:t xml:space="preserve">capacities and systems </w:t>
      </w:r>
      <w:r w:rsidR="00AD67C0" w:rsidRPr="004F73C6">
        <w:rPr>
          <w:rFonts w:ascii="Arial" w:eastAsia="Times New Roman" w:hAnsi="Arial" w:cs="Arial"/>
          <w:bCs/>
          <w:sz w:val="22"/>
          <w:lang w:val="en-GB"/>
        </w:rPr>
        <w:t xml:space="preserve">for co-ordination </w:t>
      </w:r>
      <w:r w:rsidR="00AF1FC5" w:rsidRPr="004F73C6">
        <w:rPr>
          <w:rFonts w:ascii="Arial" w:eastAsia="Times New Roman" w:hAnsi="Arial" w:cs="Arial"/>
          <w:bCs/>
          <w:sz w:val="22"/>
          <w:lang w:val="en-GB"/>
        </w:rPr>
        <w:t>weak</w:t>
      </w:r>
      <w:r w:rsidR="00E91505" w:rsidRPr="004F73C6">
        <w:rPr>
          <w:rFonts w:ascii="Arial" w:eastAsia="Times New Roman" w:hAnsi="Arial" w:cs="Arial"/>
          <w:bCs/>
          <w:sz w:val="22"/>
          <w:lang w:val="en-GB"/>
        </w:rPr>
        <w:t>, with a need to re-</w:t>
      </w:r>
      <w:r w:rsidR="0026135A" w:rsidRPr="004F73C6">
        <w:rPr>
          <w:rFonts w:ascii="Arial" w:eastAsia="Times New Roman" w:hAnsi="Arial" w:cs="Arial"/>
          <w:bCs/>
          <w:sz w:val="22"/>
          <w:lang w:val="en-GB"/>
        </w:rPr>
        <w:t>enforce</w:t>
      </w:r>
      <w:r w:rsidR="00E91505" w:rsidRPr="004F73C6">
        <w:rPr>
          <w:rFonts w:ascii="Arial" w:eastAsia="Times New Roman" w:hAnsi="Arial" w:cs="Arial"/>
          <w:bCs/>
          <w:sz w:val="22"/>
          <w:lang w:val="en-GB"/>
        </w:rPr>
        <w:t xml:space="preserve"> planning, reporting and admin procedures. </w:t>
      </w:r>
      <w:r w:rsidR="001C3F0D" w:rsidRPr="004F73C6">
        <w:rPr>
          <w:rFonts w:ascii="Arial" w:eastAsia="Times New Roman" w:hAnsi="Arial" w:cs="Arial"/>
          <w:bCs/>
          <w:sz w:val="22"/>
          <w:lang w:val="en-GB"/>
        </w:rPr>
        <w:t xml:space="preserve">As a result, feedback </w:t>
      </w:r>
      <w:r w:rsidR="00AF1FC5" w:rsidRPr="004F73C6">
        <w:rPr>
          <w:rFonts w:ascii="Arial" w:eastAsia="Times New Roman" w:hAnsi="Arial" w:cs="Arial"/>
          <w:bCs/>
          <w:sz w:val="22"/>
          <w:lang w:val="en-GB"/>
        </w:rPr>
        <w:t xml:space="preserve">to partners from visits, signing of contracts and fund disbursement </w:t>
      </w:r>
      <w:r w:rsidR="001C3F0D" w:rsidRPr="004F73C6">
        <w:rPr>
          <w:rFonts w:ascii="Arial" w:eastAsia="Times New Roman" w:hAnsi="Arial" w:cs="Arial"/>
          <w:bCs/>
          <w:sz w:val="22"/>
          <w:lang w:val="en-GB"/>
        </w:rPr>
        <w:t xml:space="preserve">were reported to be </w:t>
      </w:r>
      <w:r w:rsidR="00AF1FC5" w:rsidRPr="004F73C6">
        <w:rPr>
          <w:rFonts w:ascii="Arial" w:eastAsia="Times New Roman" w:hAnsi="Arial" w:cs="Arial"/>
          <w:bCs/>
          <w:sz w:val="22"/>
          <w:lang w:val="en-GB"/>
        </w:rPr>
        <w:t>slow</w:t>
      </w:r>
      <w:r w:rsidR="00E91505" w:rsidRPr="004F73C6">
        <w:rPr>
          <w:rFonts w:ascii="Arial" w:eastAsia="Times New Roman" w:hAnsi="Arial" w:cs="Arial"/>
          <w:bCs/>
          <w:sz w:val="22"/>
          <w:lang w:val="en-GB"/>
        </w:rPr>
        <w:t>.</w:t>
      </w:r>
    </w:p>
    <w:p w14:paraId="3D22DC75" w14:textId="6BA30DB1" w:rsidR="00671452" w:rsidRPr="004F73C6" w:rsidRDefault="002F1156" w:rsidP="002F1156">
      <w:pPr>
        <w:pStyle w:val="Heading1"/>
        <w:rPr>
          <w:rFonts w:eastAsia="Times New Roman"/>
          <w:lang w:val="en-GB"/>
        </w:rPr>
      </w:pPr>
      <w:bookmarkStart w:id="8" w:name="_Toc402974753"/>
      <w:r w:rsidRPr="004F73C6">
        <w:rPr>
          <w:rFonts w:eastAsia="Times New Roman"/>
          <w:lang w:val="en-GB"/>
        </w:rPr>
        <w:t xml:space="preserve">External </w:t>
      </w:r>
      <w:r w:rsidR="00523679" w:rsidRPr="004F73C6">
        <w:rPr>
          <w:rFonts w:eastAsia="Times New Roman"/>
          <w:lang w:val="en-GB"/>
        </w:rPr>
        <w:t>c</w:t>
      </w:r>
      <w:r w:rsidRPr="004F73C6">
        <w:rPr>
          <w:rFonts w:eastAsia="Times New Roman"/>
          <w:lang w:val="en-GB"/>
        </w:rPr>
        <w:t xml:space="preserve">o-ordination and </w:t>
      </w:r>
      <w:r w:rsidR="00523679" w:rsidRPr="004F73C6">
        <w:rPr>
          <w:rFonts w:eastAsia="Times New Roman"/>
          <w:lang w:val="en-GB"/>
        </w:rPr>
        <w:t>l</w:t>
      </w:r>
      <w:r w:rsidRPr="004F73C6">
        <w:rPr>
          <w:rFonts w:eastAsia="Times New Roman"/>
          <w:lang w:val="en-GB"/>
        </w:rPr>
        <w:t>inkage</w:t>
      </w:r>
      <w:bookmarkEnd w:id="8"/>
    </w:p>
    <w:p w14:paraId="5E70701A" w14:textId="092E5C4C" w:rsidR="00356DBE" w:rsidRPr="004F73C6" w:rsidRDefault="00D47C61" w:rsidP="00242D53">
      <w:pPr>
        <w:jc w:val="both"/>
        <w:rPr>
          <w:rFonts w:ascii="Arial" w:eastAsia="Times New Roman" w:hAnsi="Arial" w:cs="Arial"/>
          <w:bCs/>
          <w:sz w:val="22"/>
          <w:lang w:val="en-GB"/>
        </w:rPr>
      </w:pPr>
      <w:r w:rsidRPr="004F73C6">
        <w:rPr>
          <w:rFonts w:ascii="Arial" w:eastAsia="Times New Roman" w:hAnsi="Arial" w:cs="Arial"/>
          <w:bCs/>
          <w:sz w:val="22"/>
          <w:lang w:val="en-GB"/>
        </w:rPr>
        <w:t>The extent of linkage and co-ordination with other actors, in particular government</w:t>
      </w:r>
      <w:r w:rsidR="00CD63E3" w:rsidRPr="004F73C6">
        <w:rPr>
          <w:rFonts w:ascii="Arial" w:eastAsia="Times New Roman" w:hAnsi="Arial" w:cs="Arial"/>
          <w:bCs/>
          <w:sz w:val="22"/>
          <w:lang w:val="en-GB"/>
        </w:rPr>
        <w:t>,</w:t>
      </w:r>
      <w:r w:rsidRPr="004F73C6">
        <w:rPr>
          <w:rFonts w:ascii="Arial" w:eastAsia="Times New Roman" w:hAnsi="Arial" w:cs="Arial"/>
          <w:bCs/>
          <w:sz w:val="22"/>
          <w:lang w:val="en-GB"/>
        </w:rPr>
        <w:t xml:space="preserve"> is </w:t>
      </w:r>
      <w:r w:rsidR="00CD63E3" w:rsidRPr="004F73C6">
        <w:rPr>
          <w:rFonts w:ascii="Arial" w:eastAsia="Times New Roman" w:hAnsi="Arial" w:cs="Arial"/>
          <w:bCs/>
          <w:sz w:val="22"/>
          <w:lang w:val="en-GB"/>
        </w:rPr>
        <w:t xml:space="preserve">important </w:t>
      </w:r>
      <w:r w:rsidRPr="004F73C6">
        <w:rPr>
          <w:rFonts w:ascii="Arial" w:eastAsia="Times New Roman" w:hAnsi="Arial" w:cs="Arial"/>
          <w:bCs/>
          <w:sz w:val="22"/>
          <w:lang w:val="en-GB"/>
        </w:rPr>
        <w:t xml:space="preserve">given that </w:t>
      </w:r>
      <w:r w:rsidR="009D41E1" w:rsidRPr="004F73C6">
        <w:rPr>
          <w:rFonts w:ascii="Arial" w:eastAsia="Times New Roman" w:hAnsi="Arial" w:cs="Arial"/>
          <w:bCs/>
          <w:sz w:val="22"/>
          <w:lang w:val="en-GB"/>
        </w:rPr>
        <w:t>the programme generally h</w:t>
      </w:r>
      <w:r w:rsidR="0082232B" w:rsidRPr="004F73C6">
        <w:rPr>
          <w:rFonts w:ascii="Arial" w:eastAsia="Times New Roman" w:hAnsi="Arial" w:cs="Arial"/>
          <w:bCs/>
          <w:sz w:val="22"/>
          <w:lang w:val="en-GB"/>
        </w:rPr>
        <w:t>a</w:t>
      </w:r>
      <w:r w:rsidR="009D41E1" w:rsidRPr="004F73C6">
        <w:rPr>
          <w:rFonts w:ascii="Arial" w:eastAsia="Times New Roman" w:hAnsi="Arial" w:cs="Arial"/>
          <w:bCs/>
          <w:sz w:val="22"/>
          <w:lang w:val="en-GB"/>
        </w:rPr>
        <w:t xml:space="preserve">s a rights-based orientation – to build capacity of duty bearers </w:t>
      </w:r>
      <w:r w:rsidR="0082232B" w:rsidRPr="004F73C6">
        <w:rPr>
          <w:rFonts w:ascii="Arial" w:eastAsia="Times New Roman" w:hAnsi="Arial" w:cs="Arial"/>
          <w:bCs/>
          <w:sz w:val="22"/>
          <w:lang w:val="en-GB"/>
        </w:rPr>
        <w:t xml:space="preserve">(i.e. </w:t>
      </w:r>
      <w:proofErr w:type="spellStart"/>
      <w:r w:rsidR="0082232B" w:rsidRPr="004F73C6">
        <w:rPr>
          <w:rFonts w:ascii="Arial" w:eastAsia="Times New Roman" w:hAnsi="Arial" w:cs="Arial"/>
          <w:bCs/>
          <w:sz w:val="22"/>
          <w:lang w:val="en-GB"/>
        </w:rPr>
        <w:t>govt</w:t>
      </w:r>
      <w:proofErr w:type="spellEnd"/>
      <w:r w:rsidR="0082232B" w:rsidRPr="004F73C6">
        <w:rPr>
          <w:rFonts w:ascii="Arial" w:eastAsia="Times New Roman" w:hAnsi="Arial" w:cs="Arial"/>
          <w:bCs/>
          <w:sz w:val="22"/>
          <w:lang w:val="en-GB"/>
        </w:rPr>
        <w:t>) to deliver</w:t>
      </w:r>
      <w:r w:rsidR="00571045" w:rsidRPr="004F73C6">
        <w:rPr>
          <w:rFonts w:ascii="Arial" w:eastAsia="Times New Roman" w:hAnsi="Arial" w:cs="Arial"/>
          <w:bCs/>
          <w:sz w:val="22"/>
          <w:lang w:val="en-GB"/>
        </w:rPr>
        <w:t>,</w:t>
      </w:r>
      <w:r w:rsidR="0082232B" w:rsidRPr="004F73C6">
        <w:rPr>
          <w:rFonts w:ascii="Arial" w:eastAsia="Times New Roman" w:hAnsi="Arial" w:cs="Arial"/>
          <w:bCs/>
          <w:sz w:val="22"/>
          <w:lang w:val="en-GB"/>
        </w:rPr>
        <w:t xml:space="preserve"> and </w:t>
      </w:r>
      <w:r w:rsidR="00571045" w:rsidRPr="004F73C6">
        <w:rPr>
          <w:rFonts w:ascii="Arial" w:eastAsia="Times New Roman" w:hAnsi="Arial" w:cs="Arial"/>
          <w:bCs/>
          <w:sz w:val="22"/>
          <w:lang w:val="en-GB"/>
        </w:rPr>
        <w:t xml:space="preserve">of </w:t>
      </w:r>
      <w:r w:rsidR="0082232B" w:rsidRPr="004F73C6">
        <w:rPr>
          <w:rFonts w:ascii="Arial" w:eastAsia="Times New Roman" w:hAnsi="Arial" w:cs="Arial"/>
          <w:bCs/>
          <w:sz w:val="22"/>
          <w:lang w:val="en-GB"/>
        </w:rPr>
        <w:t>rights holders (</w:t>
      </w:r>
      <w:r w:rsidR="00571045" w:rsidRPr="004F73C6">
        <w:rPr>
          <w:rFonts w:ascii="Arial" w:eastAsia="Times New Roman" w:hAnsi="Arial" w:cs="Arial"/>
          <w:bCs/>
          <w:sz w:val="22"/>
          <w:lang w:val="en-GB"/>
        </w:rPr>
        <w:t xml:space="preserve">i.e. </w:t>
      </w:r>
      <w:r w:rsidR="0082232B" w:rsidRPr="004F73C6">
        <w:rPr>
          <w:rFonts w:ascii="Arial" w:eastAsia="Times New Roman" w:hAnsi="Arial" w:cs="Arial"/>
          <w:bCs/>
          <w:sz w:val="22"/>
          <w:lang w:val="en-GB"/>
        </w:rPr>
        <w:t xml:space="preserve">older people) to access services. </w:t>
      </w:r>
      <w:r w:rsidR="0031754E" w:rsidRPr="004F73C6">
        <w:rPr>
          <w:rFonts w:ascii="Arial" w:eastAsia="Times New Roman" w:hAnsi="Arial" w:cs="Arial"/>
          <w:bCs/>
          <w:sz w:val="22"/>
          <w:lang w:val="en-GB"/>
        </w:rPr>
        <w:t>T</w:t>
      </w:r>
      <w:r w:rsidR="004715EC" w:rsidRPr="004F73C6">
        <w:rPr>
          <w:rFonts w:ascii="Arial" w:eastAsia="Times New Roman" w:hAnsi="Arial" w:cs="Arial"/>
          <w:bCs/>
          <w:sz w:val="22"/>
          <w:lang w:val="en-GB"/>
        </w:rPr>
        <w:t xml:space="preserve">he country reviews did not explore </w:t>
      </w:r>
      <w:r w:rsidR="00571045" w:rsidRPr="004F73C6">
        <w:rPr>
          <w:rFonts w:ascii="Arial" w:eastAsia="Times New Roman" w:hAnsi="Arial" w:cs="Arial"/>
          <w:bCs/>
          <w:sz w:val="22"/>
          <w:lang w:val="en-GB"/>
        </w:rPr>
        <w:t xml:space="preserve">the extent of linkage in </w:t>
      </w:r>
      <w:r w:rsidR="004715EC" w:rsidRPr="004F73C6">
        <w:rPr>
          <w:rFonts w:ascii="Arial" w:eastAsia="Times New Roman" w:hAnsi="Arial" w:cs="Arial"/>
          <w:bCs/>
          <w:sz w:val="22"/>
          <w:lang w:val="en-GB"/>
        </w:rPr>
        <w:t xml:space="preserve">depth, but the impression is of a generally high level of knowledge </w:t>
      </w:r>
      <w:r w:rsidR="00571045" w:rsidRPr="004F73C6">
        <w:rPr>
          <w:rFonts w:ascii="Arial" w:eastAsia="Times New Roman" w:hAnsi="Arial" w:cs="Arial"/>
          <w:bCs/>
          <w:sz w:val="22"/>
          <w:lang w:val="en-GB"/>
        </w:rPr>
        <w:t xml:space="preserve">of </w:t>
      </w:r>
      <w:r w:rsidR="004715EC" w:rsidRPr="004F73C6">
        <w:rPr>
          <w:rFonts w:ascii="Arial" w:eastAsia="Times New Roman" w:hAnsi="Arial" w:cs="Arial"/>
          <w:bCs/>
          <w:sz w:val="22"/>
          <w:lang w:val="en-GB"/>
        </w:rPr>
        <w:t xml:space="preserve">and co-ordination </w:t>
      </w:r>
      <w:r w:rsidR="00571045" w:rsidRPr="004F73C6">
        <w:rPr>
          <w:rFonts w:ascii="Arial" w:eastAsia="Times New Roman" w:hAnsi="Arial" w:cs="Arial"/>
          <w:bCs/>
          <w:sz w:val="22"/>
          <w:lang w:val="en-GB"/>
        </w:rPr>
        <w:t xml:space="preserve">with </w:t>
      </w:r>
      <w:r w:rsidR="004715EC" w:rsidRPr="004F73C6">
        <w:rPr>
          <w:rFonts w:ascii="Arial" w:eastAsia="Times New Roman" w:hAnsi="Arial" w:cs="Arial"/>
          <w:bCs/>
          <w:sz w:val="22"/>
          <w:lang w:val="en-GB"/>
        </w:rPr>
        <w:t xml:space="preserve">government </w:t>
      </w:r>
      <w:r w:rsidR="0031754E" w:rsidRPr="004F73C6">
        <w:rPr>
          <w:rFonts w:ascii="Arial" w:eastAsia="Times New Roman" w:hAnsi="Arial" w:cs="Arial"/>
          <w:bCs/>
          <w:sz w:val="22"/>
          <w:lang w:val="en-GB"/>
        </w:rPr>
        <w:t xml:space="preserve">programmes and </w:t>
      </w:r>
      <w:r w:rsidR="004715EC" w:rsidRPr="004F73C6">
        <w:rPr>
          <w:rFonts w:ascii="Arial" w:eastAsia="Times New Roman" w:hAnsi="Arial" w:cs="Arial"/>
          <w:bCs/>
          <w:sz w:val="22"/>
          <w:lang w:val="en-GB"/>
        </w:rPr>
        <w:t>offices.</w:t>
      </w:r>
      <w:r w:rsidR="0031754E" w:rsidRPr="004F73C6">
        <w:rPr>
          <w:rFonts w:ascii="Arial" w:eastAsia="Times New Roman" w:hAnsi="Arial" w:cs="Arial"/>
          <w:bCs/>
          <w:sz w:val="22"/>
          <w:lang w:val="en-GB"/>
        </w:rPr>
        <w:t xml:space="preserve"> </w:t>
      </w:r>
    </w:p>
    <w:p w14:paraId="243A2812" w14:textId="611047EB" w:rsidR="00C542D7" w:rsidRPr="004F73C6" w:rsidRDefault="0031754E" w:rsidP="00242D53">
      <w:pPr>
        <w:jc w:val="both"/>
        <w:rPr>
          <w:rFonts w:ascii="Arial" w:eastAsia="Times New Roman" w:hAnsi="Arial" w:cs="Arial"/>
          <w:bCs/>
          <w:sz w:val="22"/>
          <w:lang w:val="en-GB"/>
        </w:rPr>
      </w:pPr>
      <w:r w:rsidRPr="004F73C6">
        <w:rPr>
          <w:rFonts w:ascii="Arial" w:eastAsia="Times New Roman" w:hAnsi="Arial" w:cs="Arial"/>
          <w:bCs/>
          <w:sz w:val="22"/>
          <w:lang w:val="en-GB"/>
        </w:rPr>
        <w:t>The</w:t>
      </w:r>
      <w:r w:rsidRPr="004F73C6">
        <w:rPr>
          <w:rFonts w:ascii="Arial" w:eastAsia="Times New Roman" w:hAnsi="Arial" w:cs="Arial"/>
          <w:bCs/>
          <w:i/>
          <w:sz w:val="22"/>
          <w:lang w:val="en-GB"/>
        </w:rPr>
        <w:t xml:space="preserve"> </w:t>
      </w:r>
      <w:r w:rsidR="00356DBE" w:rsidRPr="004F73C6">
        <w:rPr>
          <w:rFonts w:ascii="Arial" w:eastAsia="Times New Roman" w:hAnsi="Arial" w:cs="Arial"/>
          <w:bCs/>
          <w:sz w:val="22"/>
          <w:lang w:val="en-GB"/>
        </w:rPr>
        <w:t>programme in</w:t>
      </w:r>
      <w:r w:rsidR="00356DBE" w:rsidRPr="004F73C6">
        <w:rPr>
          <w:rFonts w:ascii="Arial" w:eastAsia="Times New Roman" w:hAnsi="Arial" w:cs="Arial"/>
          <w:bCs/>
          <w:i/>
          <w:sz w:val="22"/>
          <w:lang w:val="en-GB"/>
        </w:rPr>
        <w:t xml:space="preserve"> </w:t>
      </w:r>
      <w:r w:rsidR="00C30693" w:rsidRPr="004F73C6">
        <w:rPr>
          <w:rFonts w:ascii="Arial" w:eastAsia="Times New Roman" w:hAnsi="Arial" w:cs="Arial"/>
          <w:bCs/>
          <w:i/>
          <w:sz w:val="22"/>
          <w:lang w:val="en-GB"/>
        </w:rPr>
        <w:t>South Africa</w:t>
      </w:r>
      <w:r w:rsidRPr="004F73C6">
        <w:rPr>
          <w:rFonts w:ascii="Arial" w:eastAsia="Times New Roman" w:hAnsi="Arial" w:cs="Arial"/>
          <w:bCs/>
          <w:i/>
          <w:sz w:val="22"/>
          <w:lang w:val="en-GB"/>
        </w:rPr>
        <w:t xml:space="preserve"> </w:t>
      </w:r>
      <w:r w:rsidRPr="004F73C6">
        <w:rPr>
          <w:rFonts w:ascii="Arial" w:eastAsia="Times New Roman" w:hAnsi="Arial" w:cs="Arial"/>
          <w:bCs/>
          <w:sz w:val="22"/>
          <w:lang w:val="en-GB"/>
        </w:rPr>
        <w:t xml:space="preserve">has </w:t>
      </w:r>
      <w:r w:rsidR="00356DBE" w:rsidRPr="004F73C6">
        <w:rPr>
          <w:rFonts w:ascii="Arial" w:eastAsia="Times New Roman" w:hAnsi="Arial" w:cs="Arial"/>
          <w:bCs/>
          <w:sz w:val="22"/>
          <w:lang w:val="en-GB"/>
        </w:rPr>
        <w:t xml:space="preserve">adapted </w:t>
      </w:r>
      <w:r w:rsidRPr="004F73C6">
        <w:rPr>
          <w:rFonts w:ascii="Arial" w:eastAsia="Times New Roman" w:hAnsi="Arial" w:cs="Arial"/>
          <w:bCs/>
          <w:sz w:val="22"/>
          <w:lang w:val="en-GB"/>
        </w:rPr>
        <w:t xml:space="preserve">its work on </w:t>
      </w:r>
      <w:r w:rsidR="00356DBE" w:rsidRPr="004F73C6">
        <w:rPr>
          <w:rFonts w:ascii="Arial" w:eastAsia="Times New Roman" w:hAnsi="Arial" w:cs="Arial"/>
          <w:bCs/>
          <w:sz w:val="22"/>
          <w:lang w:val="en-GB"/>
        </w:rPr>
        <w:t xml:space="preserve">access to </w:t>
      </w:r>
      <w:r w:rsidRPr="004F73C6">
        <w:rPr>
          <w:rFonts w:ascii="Arial" w:eastAsia="Times New Roman" w:hAnsi="Arial" w:cs="Arial"/>
          <w:bCs/>
          <w:sz w:val="22"/>
          <w:lang w:val="en-GB"/>
        </w:rPr>
        <w:t>health</w:t>
      </w:r>
      <w:r w:rsidR="00356DBE" w:rsidRPr="004F73C6">
        <w:rPr>
          <w:rFonts w:ascii="Arial" w:eastAsia="Times New Roman" w:hAnsi="Arial" w:cs="Arial"/>
          <w:bCs/>
          <w:sz w:val="22"/>
          <w:lang w:val="en-GB"/>
        </w:rPr>
        <w:t>care</w:t>
      </w:r>
      <w:r w:rsidRPr="004F73C6">
        <w:rPr>
          <w:rFonts w:ascii="Arial" w:eastAsia="Times New Roman" w:hAnsi="Arial" w:cs="Arial"/>
          <w:bCs/>
          <w:sz w:val="22"/>
          <w:lang w:val="en-GB"/>
        </w:rPr>
        <w:t xml:space="preserve"> to co-ordinate with the </w:t>
      </w:r>
      <w:r w:rsidR="00A2141E" w:rsidRPr="004F73C6">
        <w:rPr>
          <w:rFonts w:ascii="Arial" w:eastAsia="Times New Roman" w:hAnsi="Arial" w:cs="Arial"/>
          <w:bCs/>
          <w:sz w:val="22"/>
          <w:lang w:val="en-GB"/>
        </w:rPr>
        <w:t xml:space="preserve">roll out of </w:t>
      </w:r>
      <w:r w:rsidR="006C6A64" w:rsidRPr="004F73C6">
        <w:rPr>
          <w:rFonts w:ascii="Arial" w:eastAsia="Times New Roman" w:hAnsi="Arial" w:cs="Arial"/>
          <w:bCs/>
          <w:sz w:val="22"/>
          <w:lang w:val="en-GB"/>
        </w:rPr>
        <w:t xml:space="preserve">a government </w:t>
      </w:r>
      <w:r w:rsidR="00A2141E" w:rsidRPr="004F73C6">
        <w:rPr>
          <w:rFonts w:ascii="Arial" w:eastAsia="Times New Roman" w:hAnsi="Arial" w:cs="Arial"/>
          <w:bCs/>
          <w:sz w:val="22"/>
          <w:lang w:val="en-GB"/>
        </w:rPr>
        <w:t xml:space="preserve">‘health re-engineering’ policy which attempts to place more emphasis on preventative health care at community level. </w:t>
      </w:r>
      <w:r w:rsidR="00C542D7" w:rsidRPr="004F73C6">
        <w:rPr>
          <w:rFonts w:ascii="Arial" w:eastAsia="Times New Roman" w:hAnsi="Arial" w:cs="Arial"/>
          <w:bCs/>
          <w:sz w:val="22"/>
          <w:lang w:val="en-GB"/>
        </w:rPr>
        <w:t xml:space="preserve">The </w:t>
      </w:r>
      <w:r w:rsidR="00C30693" w:rsidRPr="004F73C6">
        <w:rPr>
          <w:rFonts w:ascii="Arial" w:eastAsia="Times New Roman" w:hAnsi="Arial" w:cs="Arial"/>
          <w:bCs/>
          <w:i/>
          <w:sz w:val="22"/>
          <w:lang w:val="en-GB"/>
        </w:rPr>
        <w:t>South Africa</w:t>
      </w:r>
      <w:r w:rsidR="00C542D7" w:rsidRPr="004F73C6">
        <w:rPr>
          <w:rFonts w:ascii="Arial" w:eastAsia="Times New Roman" w:hAnsi="Arial" w:cs="Arial"/>
          <w:bCs/>
          <w:sz w:val="22"/>
          <w:lang w:val="en-GB"/>
        </w:rPr>
        <w:t xml:space="preserve"> Ageing Network (SAAN) has been specifically </w:t>
      </w:r>
      <w:r w:rsidR="0073180C" w:rsidRPr="004F73C6">
        <w:rPr>
          <w:rFonts w:ascii="Arial" w:eastAsia="Times New Roman" w:hAnsi="Arial" w:cs="Arial"/>
          <w:bCs/>
          <w:sz w:val="22"/>
          <w:lang w:val="en-GB"/>
        </w:rPr>
        <w:t>developed to increase co-ordination between government and civil society, and to build a cross-</w:t>
      </w:r>
      <w:proofErr w:type="spellStart"/>
      <w:r w:rsidR="0073180C" w:rsidRPr="004F73C6">
        <w:rPr>
          <w:rFonts w:ascii="Arial" w:eastAsia="Times New Roman" w:hAnsi="Arial" w:cs="Arial"/>
          <w:bCs/>
          <w:sz w:val="22"/>
          <w:lang w:val="en-GB"/>
        </w:rPr>
        <w:t>sectoral</w:t>
      </w:r>
      <w:proofErr w:type="spellEnd"/>
      <w:r w:rsidR="0073180C" w:rsidRPr="004F73C6">
        <w:rPr>
          <w:rFonts w:ascii="Arial" w:eastAsia="Times New Roman" w:hAnsi="Arial" w:cs="Arial"/>
          <w:bCs/>
          <w:sz w:val="22"/>
          <w:lang w:val="en-GB"/>
        </w:rPr>
        <w:t xml:space="preserve"> platform on ageing.</w:t>
      </w:r>
    </w:p>
    <w:p w14:paraId="5C752D96" w14:textId="5531E806" w:rsidR="004715EC" w:rsidRPr="004F73C6" w:rsidRDefault="00A2141E" w:rsidP="00242D53">
      <w:pPr>
        <w:jc w:val="both"/>
        <w:rPr>
          <w:rFonts w:ascii="Arial" w:eastAsia="Times New Roman" w:hAnsi="Arial" w:cs="Arial"/>
          <w:bCs/>
          <w:sz w:val="22"/>
          <w:lang w:val="en-GB"/>
        </w:rPr>
      </w:pPr>
      <w:r w:rsidRPr="004F73C6">
        <w:rPr>
          <w:rFonts w:ascii="Arial" w:eastAsia="Times New Roman" w:hAnsi="Arial" w:cs="Arial"/>
          <w:bCs/>
          <w:sz w:val="22"/>
          <w:lang w:val="en-GB"/>
        </w:rPr>
        <w:t>In</w:t>
      </w:r>
      <w:r w:rsidRPr="004F73C6">
        <w:rPr>
          <w:rFonts w:ascii="Arial" w:eastAsia="Times New Roman" w:hAnsi="Arial" w:cs="Arial"/>
          <w:bCs/>
          <w:i/>
          <w:sz w:val="22"/>
          <w:lang w:val="en-GB"/>
        </w:rPr>
        <w:t xml:space="preserve"> </w:t>
      </w:r>
      <w:r w:rsidR="00C30693" w:rsidRPr="004F73C6">
        <w:rPr>
          <w:rFonts w:ascii="Arial" w:eastAsia="Times New Roman" w:hAnsi="Arial" w:cs="Arial"/>
          <w:bCs/>
          <w:i/>
          <w:sz w:val="22"/>
          <w:lang w:val="en-GB"/>
        </w:rPr>
        <w:t>Tanzania</w:t>
      </w:r>
      <w:r w:rsidRPr="004F73C6">
        <w:rPr>
          <w:rFonts w:ascii="Arial" w:eastAsia="Times New Roman" w:hAnsi="Arial" w:cs="Arial"/>
          <w:bCs/>
          <w:i/>
          <w:sz w:val="22"/>
          <w:lang w:val="en-GB"/>
        </w:rPr>
        <w:t>,</w:t>
      </w:r>
      <w:r w:rsidRPr="004F73C6">
        <w:rPr>
          <w:rFonts w:ascii="Arial" w:eastAsia="Times New Roman" w:hAnsi="Arial" w:cs="Arial"/>
          <w:bCs/>
          <w:sz w:val="22"/>
          <w:lang w:val="en-GB"/>
        </w:rPr>
        <w:t xml:space="preserve"> the Chairman of the Parliamentary Commission on Social Issues and Community Development remarked: </w:t>
      </w:r>
      <w:r w:rsidRPr="004F73C6">
        <w:rPr>
          <w:rFonts w:ascii="Arial" w:eastAsia="Times New Roman" w:hAnsi="Arial" w:cs="Arial"/>
          <w:bCs/>
          <w:i/>
          <w:sz w:val="22"/>
          <w:lang w:val="en-GB"/>
        </w:rPr>
        <w:t>‘HelpAge has raised our awareness of universal pension and is supporting us to develop a programme on universal pension for older people in the country</w:t>
      </w:r>
      <w:r w:rsidR="007F21BF" w:rsidRPr="004F73C6">
        <w:rPr>
          <w:rFonts w:ascii="Arial" w:eastAsia="Times New Roman" w:hAnsi="Arial" w:cs="Arial"/>
          <w:bCs/>
          <w:i/>
          <w:sz w:val="22"/>
          <w:lang w:val="en-GB"/>
        </w:rPr>
        <w:t>’</w:t>
      </w:r>
      <w:r w:rsidR="00F94B8D" w:rsidRPr="004F73C6">
        <w:rPr>
          <w:rFonts w:ascii="Arial" w:eastAsia="Times New Roman" w:hAnsi="Arial" w:cs="Arial"/>
          <w:bCs/>
          <w:sz w:val="22"/>
          <w:lang w:val="en-GB"/>
        </w:rPr>
        <w:t xml:space="preserve">. </w:t>
      </w:r>
      <w:r w:rsidR="00C30693" w:rsidRPr="004F73C6">
        <w:rPr>
          <w:rFonts w:ascii="Arial" w:eastAsia="Times New Roman" w:hAnsi="Arial" w:cs="Arial"/>
          <w:bCs/>
          <w:i/>
          <w:sz w:val="22"/>
          <w:lang w:val="en-GB"/>
        </w:rPr>
        <w:t>Mozambique</w:t>
      </w:r>
      <w:r w:rsidR="002E5E91" w:rsidRPr="004F73C6">
        <w:rPr>
          <w:rFonts w:ascii="Arial" w:eastAsia="Times New Roman" w:hAnsi="Arial" w:cs="Arial"/>
          <w:bCs/>
          <w:sz w:val="22"/>
          <w:lang w:val="en-GB"/>
        </w:rPr>
        <w:t xml:space="preserve"> in particular </w:t>
      </w:r>
      <w:r w:rsidR="001869F7" w:rsidRPr="004F73C6">
        <w:rPr>
          <w:rFonts w:ascii="Arial" w:eastAsia="Times New Roman" w:hAnsi="Arial" w:cs="Arial"/>
          <w:bCs/>
          <w:sz w:val="22"/>
          <w:lang w:val="en-GB"/>
        </w:rPr>
        <w:t xml:space="preserve">shows evidence of aligning the older people structures with the government chain of implementation. </w:t>
      </w:r>
      <w:r w:rsidR="0073180C" w:rsidRPr="004F73C6">
        <w:rPr>
          <w:rFonts w:ascii="Arial" w:eastAsia="Times New Roman" w:hAnsi="Arial" w:cs="Arial"/>
          <w:bCs/>
          <w:sz w:val="22"/>
          <w:lang w:val="en-GB"/>
        </w:rPr>
        <w:t>Nevertheless</w:t>
      </w:r>
      <w:r w:rsidR="00F94B8D" w:rsidRPr="004F73C6">
        <w:rPr>
          <w:rFonts w:ascii="Arial" w:eastAsia="Times New Roman" w:hAnsi="Arial" w:cs="Arial"/>
          <w:bCs/>
          <w:sz w:val="22"/>
          <w:lang w:val="en-GB"/>
        </w:rPr>
        <w:t xml:space="preserve">, the </w:t>
      </w:r>
      <w:r w:rsidR="003502EB" w:rsidRPr="004F73C6">
        <w:rPr>
          <w:rFonts w:ascii="Arial" w:eastAsia="Times New Roman" w:hAnsi="Arial" w:cs="Arial"/>
          <w:bCs/>
          <w:sz w:val="22"/>
          <w:lang w:val="en-GB"/>
        </w:rPr>
        <w:t xml:space="preserve">country reviews </w:t>
      </w:r>
      <w:r w:rsidR="0015445A" w:rsidRPr="004F73C6">
        <w:rPr>
          <w:rFonts w:ascii="Arial" w:eastAsia="Times New Roman" w:hAnsi="Arial" w:cs="Arial"/>
          <w:bCs/>
          <w:sz w:val="22"/>
          <w:lang w:val="en-GB"/>
        </w:rPr>
        <w:t xml:space="preserve">give </w:t>
      </w:r>
      <w:r w:rsidR="0073180C" w:rsidRPr="004F73C6">
        <w:rPr>
          <w:rFonts w:ascii="Arial" w:eastAsia="Times New Roman" w:hAnsi="Arial" w:cs="Arial"/>
          <w:bCs/>
          <w:sz w:val="22"/>
          <w:lang w:val="en-GB"/>
        </w:rPr>
        <w:t xml:space="preserve">an impression </w:t>
      </w:r>
      <w:r w:rsidR="003502EB" w:rsidRPr="004F73C6">
        <w:rPr>
          <w:rFonts w:ascii="Arial" w:eastAsia="Times New Roman" w:hAnsi="Arial" w:cs="Arial"/>
          <w:bCs/>
          <w:sz w:val="22"/>
          <w:lang w:val="en-GB"/>
        </w:rPr>
        <w:t xml:space="preserve">of </w:t>
      </w:r>
      <w:r w:rsidR="00142EE3" w:rsidRPr="004F73C6">
        <w:rPr>
          <w:rFonts w:ascii="Arial" w:eastAsia="Times New Roman" w:hAnsi="Arial" w:cs="Arial"/>
          <w:bCs/>
          <w:sz w:val="22"/>
          <w:lang w:val="en-GB"/>
        </w:rPr>
        <w:t xml:space="preserve">a number of </w:t>
      </w:r>
      <w:r w:rsidR="003502EB" w:rsidRPr="004F73C6">
        <w:rPr>
          <w:rFonts w:ascii="Arial" w:eastAsia="Times New Roman" w:hAnsi="Arial" w:cs="Arial"/>
          <w:bCs/>
          <w:sz w:val="22"/>
          <w:lang w:val="en-GB"/>
        </w:rPr>
        <w:t xml:space="preserve">gaps </w:t>
      </w:r>
      <w:r w:rsidR="00F94B8D" w:rsidRPr="004F73C6">
        <w:rPr>
          <w:rFonts w:ascii="Arial" w:eastAsia="Times New Roman" w:hAnsi="Arial" w:cs="Arial"/>
          <w:bCs/>
          <w:sz w:val="22"/>
          <w:lang w:val="en-GB"/>
        </w:rPr>
        <w:t>in linking work at different levels of governance i.e. community, d</w:t>
      </w:r>
      <w:r w:rsidR="00C542D7" w:rsidRPr="004F73C6">
        <w:rPr>
          <w:rFonts w:ascii="Arial" w:eastAsia="Times New Roman" w:hAnsi="Arial" w:cs="Arial"/>
          <w:bCs/>
          <w:sz w:val="22"/>
          <w:lang w:val="en-GB"/>
        </w:rPr>
        <w:t>istrict, province and national</w:t>
      </w:r>
      <w:r w:rsidR="00142EE3" w:rsidRPr="004F73C6">
        <w:rPr>
          <w:rFonts w:ascii="Arial" w:eastAsia="Times New Roman" w:hAnsi="Arial" w:cs="Arial"/>
          <w:bCs/>
          <w:sz w:val="22"/>
          <w:lang w:val="en-GB"/>
        </w:rPr>
        <w:t>.</w:t>
      </w:r>
      <w:r w:rsidR="00355E4C" w:rsidRPr="004F73C6">
        <w:rPr>
          <w:rFonts w:ascii="Arial" w:eastAsia="Times New Roman" w:hAnsi="Arial" w:cs="Arial"/>
          <w:bCs/>
          <w:sz w:val="22"/>
          <w:lang w:val="en-GB"/>
        </w:rPr>
        <w:t xml:space="preserve">, and highlights some opportunities to strengthen some of these relationships e.g. with the TASAF M&amp;E department in </w:t>
      </w:r>
      <w:r w:rsidR="00C30693" w:rsidRPr="004F73C6">
        <w:rPr>
          <w:rFonts w:ascii="Arial" w:eastAsia="Times New Roman" w:hAnsi="Arial" w:cs="Arial"/>
          <w:bCs/>
          <w:i/>
          <w:sz w:val="22"/>
          <w:lang w:val="en-GB"/>
        </w:rPr>
        <w:t>Tanzania</w:t>
      </w:r>
      <w:r w:rsidR="00355E4C" w:rsidRPr="004F73C6">
        <w:rPr>
          <w:rFonts w:ascii="Arial" w:eastAsia="Times New Roman" w:hAnsi="Arial" w:cs="Arial"/>
          <w:bCs/>
          <w:sz w:val="22"/>
          <w:lang w:val="en-GB"/>
        </w:rPr>
        <w:t xml:space="preserve"> and </w:t>
      </w:r>
      <w:r w:rsidR="00FD2A48" w:rsidRPr="004F73C6">
        <w:rPr>
          <w:rFonts w:ascii="Arial" w:eastAsia="Times New Roman" w:hAnsi="Arial" w:cs="Arial"/>
          <w:bCs/>
          <w:sz w:val="22"/>
          <w:lang w:val="en-GB"/>
        </w:rPr>
        <w:t xml:space="preserve">with Chronic Diseases at the National Department of Health in </w:t>
      </w:r>
      <w:r w:rsidR="00C30693" w:rsidRPr="004F73C6">
        <w:rPr>
          <w:rFonts w:ascii="Arial" w:eastAsia="Times New Roman" w:hAnsi="Arial" w:cs="Arial"/>
          <w:bCs/>
          <w:i/>
          <w:sz w:val="22"/>
          <w:lang w:val="en-GB"/>
        </w:rPr>
        <w:t>South Africa</w:t>
      </w:r>
      <w:r w:rsidR="00FD2A48" w:rsidRPr="004F73C6">
        <w:rPr>
          <w:rFonts w:ascii="Arial" w:eastAsia="Times New Roman" w:hAnsi="Arial" w:cs="Arial"/>
          <w:bCs/>
          <w:sz w:val="22"/>
          <w:lang w:val="en-GB"/>
        </w:rPr>
        <w:t>.</w:t>
      </w:r>
    </w:p>
    <w:p w14:paraId="027A693D" w14:textId="77777777" w:rsidR="00F3356C" w:rsidRPr="004F73C6" w:rsidRDefault="00F3356C" w:rsidP="00023645">
      <w:pPr>
        <w:pStyle w:val="Heading1"/>
        <w:rPr>
          <w:lang w:val="en-GB"/>
        </w:rPr>
      </w:pPr>
      <w:bookmarkStart w:id="9" w:name="_Toc402974754"/>
      <w:r w:rsidRPr="004F73C6">
        <w:rPr>
          <w:lang w:val="en-GB"/>
        </w:rPr>
        <w:t>Sustainability</w:t>
      </w:r>
      <w:bookmarkEnd w:id="9"/>
    </w:p>
    <w:p w14:paraId="368AC1D3" w14:textId="50425F9F" w:rsidR="00D24E00" w:rsidRPr="004F73C6" w:rsidRDefault="00B800D3" w:rsidP="00AE6247">
      <w:pPr>
        <w:pStyle w:val="ListParagraph"/>
        <w:ind w:left="0"/>
        <w:jc w:val="both"/>
        <w:rPr>
          <w:rFonts w:ascii="Arial" w:hAnsi="Arial" w:cs="Arial"/>
          <w:sz w:val="22"/>
          <w:lang w:val="en-GB"/>
        </w:rPr>
      </w:pPr>
      <w:bookmarkStart w:id="10" w:name="_Toc384075588"/>
      <w:r w:rsidRPr="004F73C6">
        <w:rPr>
          <w:rFonts w:ascii="Arial" w:hAnsi="Arial" w:cs="Arial"/>
          <w:iCs/>
          <w:sz w:val="22"/>
          <w:lang w:val="en-GB"/>
        </w:rPr>
        <w:t xml:space="preserve">The individual country reviews showed some positive </w:t>
      </w:r>
      <w:r w:rsidR="008F4E24" w:rsidRPr="004F73C6">
        <w:rPr>
          <w:rFonts w:ascii="Arial" w:hAnsi="Arial" w:cs="Arial"/>
          <w:iCs/>
          <w:sz w:val="22"/>
          <w:lang w:val="en-GB"/>
        </w:rPr>
        <w:t xml:space="preserve">signs </w:t>
      </w:r>
      <w:r w:rsidR="0024340F" w:rsidRPr="004F73C6">
        <w:rPr>
          <w:rFonts w:ascii="Arial" w:hAnsi="Arial" w:cs="Arial"/>
          <w:iCs/>
          <w:sz w:val="22"/>
          <w:lang w:val="en-GB"/>
        </w:rPr>
        <w:t xml:space="preserve">that </w:t>
      </w:r>
      <w:r w:rsidR="0024340F" w:rsidRPr="004F73C6">
        <w:rPr>
          <w:rFonts w:ascii="Arial" w:hAnsi="Arial" w:cs="Arial"/>
          <w:sz w:val="22"/>
          <w:lang w:val="en-GB"/>
        </w:rPr>
        <w:t xml:space="preserve">results would be sustained beyond the lifetime of the current programme. </w:t>
      </w:r>
      <w:r w:rsidR="00D24E00" w:rsidRPr="004F73C6">
        <w:rPr>
          <w:rFonts w:ascii="Arial" w:hAnsi="Arial" w:cs="Arial"/>
          <w:sz w:val="22"/>
          <w:lang w:val="en-GB"/>
        </w:rPr>
        <w:t xml:space="preserve">As highlighted above, there has been some efforts to invest in the capacity building </w:t>
      </w:r>
      <w:r w:rsidR="003C7DAA" w:rsidRPr="004F73C6">
        <w:rPr>
          <w:rFonts w:ascii="Arial" w:hAnsi="Arial" w:cs="Arial"/>
          <w:sz w:val="22"/>
          <w:lang w:val="en-GB"/>
        </w:rPr>
        <w:t xml:space="preserve">and gradual increase of responsibilities of partners – as with </w:t>
      </w:r>
      <w:r w:rsidR="003C7DAA" w:rsidRPr="004F73C6">
        <w:rPr>
          <w:rFonts w:ascii="Arial" w:hAnsi="Arial" w:cs="Arial"/>
          <w:iCs/>
          <w:sz w:val="22"/>
          <w:lang w:val="en-GB"/>
        </w:rPr>
        <w:t xml:space="preserve">ACIDECO and APITE in </w:t>
      </w:r>
      <w:r w:rsidR="00C30693" w:rsidRPr="004F73C6">
        <w:rPr>
          <w:rFonts w:ascii="Arial" w:hAnsi="Arial" w:cs="Arial"/>
          <w:i/>
          <w:iCs/>
          <w:sz w:val="22"/>
          <w:lang w:val="en-GB"/>
        </w:rPr>
        <w:t>Mozambique</w:t>
      </w:r>
      <w:r w:rsidR="003C7DAA" w:rsidRPr="004F73C6">
        <w:rPr>
          <w:rFonts w:ascii="Arial" w:hAnsi="Arial" w:cs="Arial"/>
          <w:iCs/>
          <w:sz w:val="22"/>
          <w:lang w:val="en-GB"/>
        </w:rPr>
        <w:t xml:space="preserve"> </w:t>
      </w:r>
      <w:r w:rsidR="00D24E00" w:rsidRPr="004F73C6">
        <w:rPr>
          <w:rFonts w:ascii="Arial" w:hAnsi="Arial" w:cs="Arial"/>
          <w:sz w:val="22"/>
          <w:lang w:val="en-GB"/>
        </w:rPr>
        <w:t>(although this requires further investment)</w:t>
      </w:r>
      <w:r w:rsidR="003C7DAA" w:rsidRPr="004F73C6">
        <w:rPr>
          <w:rFonts w:ascii="Arial" w:hAnsi="Arial" w:cs="Arial"/>
          <w:sz w:val="22"/>
          <w:lang w:val="en-GB"/>
        </w:rPr>
        <w:t>,</w:t>
      </w:r>
      <w:r w:rsidR="00451769" w:rsidRPr="004F73C6">
        <w:rPr>
          <w:rFonts w:ascii="Arial" w:hAnsi="Arial" w:cs="Arial"/>
          <w:sz w:val="22"/>
          <w:lang w:val="en-GB"/>
        </w:rPr>
        <w:t xml:space="preserve"> and to strengthen their relationship with government e.g. for KADP in </w:t>
      </w:r>
      <w:r w:rsidR="00C30693" w:rsidRPr="004F73C6">
        <w:rPr>
          <w:rFonts w:ascii="Arial" w:hAnsi="Arial" w:cs="Arial"/>
          <w:i/>
          <w:sz w:val="22"/>
          <w:lang w:val="en-GB"/>
        </w:rPr>
        <w:t>Uganda</w:t>
      </w:r>
      <w:r w:rsidR="00451769" w:rsidRPr="004F73C6">
        <w:rPr>
          <w:rFonts w:ascii="Arial" w:hAnsi="Arial" w:cs="Arial"/>
          <w:sz w:val="22"/>
          <w:lang w:val="en-GB"/>
        </w:rPr>
        <w:t>. T</w:t>
      </w:r>
      <w:r w:rsidR="003C7DAA" w:rsidRPr="004F73C6">
        <w:rPr>
          <w:rFonts w:ascii="Arial" w:hAnsi="Arial" w:cs="Arial"/>
          <w:sz w:val="22"/>
          <w:lang w:val="en-GB"/>
        </w:rPr>
        <w:t xml:space="preserve">he programme has </w:t>
      </w:r>
      <w:r w:rsidR="00B80795" w:rsidRPr="004F73C6">
        <w:rPr>
          <w:rFonts w:ascii="Arial" w:hAnsi="Arial" w:cs="Arial"/>
          <w:sz w:val="22"/>
          <w:lang w:val="en-GB"/>
        </w:rPr>
        <w:t xml:space="preserve">also placed some emphasis on the </w:t>
      </w:r>
      <w:r w:rsidR="00460DF3" w:rsidRPr="004F73C6">
        <w:rPr>
          <w:rFonts w:ascii="Arial" w:hAnsi="Arial" w:cs="Arial"/>
          <w:sz w:val="22"/>
          <w:lang w:val="en-GB"/>
        </w:rPr>
        <w:lastRenderedPageBreak/>
        <w:t xml:space="preserve">formalisation of </w:t>
      </w:r>
      <w:r w:rsidR="00EF31F8" w:rsidRPr="004F73C6">
        <w:rPr>
          <w:rFonts w:ascii="Arial" w:hAnsi="Arial" w:cs="Arial"/>
          <w:sz w:val="22"/>
          <w:lang w:val="en-GB"/>
        </w:rPr>
        <w:t xml:space="preserve">structures – for example, the engagement of </w:t>
      </w:r>
      <w:r w:rsidR="00C30693" w:rsidRPr="004F73C6">
        <w:rPr>
          <w:rFonts w:ascii="Arial" w:hAnsi="Arial" w:cs="Arial"/>
          <w:i/>
          <w:sz w:val="22"/>
          <w:lang w:val="en-GB"/>
        </w:rPr>
        <w:t>Mozambique</w:t>
      </w:r>
      <w:r w:rsidR="00EF31F8" w:rsidRPr="004F73C6">
        <w:rPr>
          <w:rFonts w:ascii="Arial" w:hAnsi="Arial" w:cs="Arial"/>
          <w:sz w:val="22"/>
          <w:lang w:val="en-GB"/>
        </w:rPr>
        <w:t xml:space="preserve"> civil society in the </w:t>
      </w:r>
      <w:r w:rsidR="00460DF3" w:rsidRPr="004F73C6">
        <w:rPr>
          <w:rFonts w:ascii="Arial" w:hAnsi="Arial" w:cs="Arial"/>
          <w:sz w:val="22"/>
          <w:lang w:val="en-GB"/>
        </w:rPr>
        <w:t>N</w:t>
      </w:r>
      <w:r w:rsidR="00EF31F8" w:rsidRPr="004F73C6">
        <w:rPr>
          <w:rFonts w:ascii="Arial" w:hAnsi="Arial" w:cs="Arial"/>
          <w:sz w:val="22"/>
          <w:lang w:val="en-GB"/>
        </w:rPr>
        <w:t xml:space="preserve">ational Social </w:t>
      </w:r>
      <w:r w:rsidR="00460DF3" w:rsidRPr="004F73C6">
        <w:rPr>
          <w:rFonts w:ascii="Arial" w:hAnsi="Arial" w:cs="Arial"/>
          <w:sz w:val="22"/>
          <w:lang w:val="en-GB"/>
        </w:rPr>
        <w:t xml:space="preserve">Protection Commission </w:t>
      </w:r>
      <w:r w:rsidR="00451769" w:rsidRPr="004F73C6">
        <w:rPr>
          <w:rFonts w:ascii="Arial" w:hAnsi="Arial" w:cs="Arial"/>
          <w:sz w:val="22"/>
          <w:lang w:val="en-GB"/>
        </w:rPr>
        <w:t xml:space="preserve">and </w:t>
      </w:r>
      <w:r w:rsidR="00460DF3" w:rsidRPr="004F73C6">
        <w:rPr>
          <w:rFonts w:ascii="Arial" w:hAnsi="Arial" w:cs="Arial"/>
          <w:sz w:val="22"/>
          <w:lang w:val="en-GB"/>
        </w:rPr>
        <w:t>the linkage between OPAs at community level and District and Provi</w:t>
      </w:r>
      <w:r w:rsidR="00451769" w:rsidRPr="004F73C6">
        <w:rPr>
          <w:rFonts w:ascii="Arial" w:hAnsi="Arial" w:cs="Arial"/>
          <w:sz w:val="22"/>
          <w:lang w:val="en-GB"/>
        </w:rPr>
        <w:t>ncial Poverty Observatories</w:t>
      </w:r>
      <w:r w:rsidR="00B80795" w:rsidRPr="004F73C6">
        <w:rPr>
          <w:rFonts w:ascii="Arial" w:hAnsi="Arial" w:cs="Arial"/>
          <w:sz w:val="22"/>
          <w:lang w:val="en-GB"/>
        </w:rPr>
        <w:t xml:space="preserve">; </w:t>
      </w:r>
      <w:r w:rsidR="00451769" w:rsidRPr="004F73C6">
        <w:rPr>
          <w:rFonts w:ascii="Arial" w:hAnsi="Arial" w:cs="Arial"/>
          <w:sz w:val="22"/>
          <w:lang w:val="en-GB"/>
        </w:rPr>
        <w:t xml:space="preserve">and the development of the </w:t>
      </w:r>
      <w:r w:rsidR="00C30693" w:rsidRPr="004F73C6">
        <w:rPr>
          <w:rFonts w:ascii="Arial" w:hAnsi="Arial" w:cs="Arial"/>
          <w:i/>
          <w:sz w:val="22"/>
          <w:lang w:val="en-GB"/>
        </w:rPr>
        <w:t>South Africa</w:t>
      </w:r>
      <w:r w:rsidR="00451769" w:rsidRPr="004F73C6">
        <w:rPr>
          <w:rFonts w:ascii="Arial" w:hAnsi="Arial" w:cs="Arial"/>
          <w:sz w:val="22"/>
          <w:lang w:val="en-GB"/>
        </w:rPr>
        <w:t xml:space="preserve"> Ageing Network.</w:t>
      </w:r>
    </w:p>
    <w:p w14:paraId="57774995" w14:textId="77777777" w:rsidR="00D24E00" w:rsidRPr="004F73C6" w:rsidRDefault="00D24E00" w:rsidP="00AE6247">
      <w:pPr>
        <w:pStyle w:val="ListParagraph"/>
        <w:ind w:left="0"/>
        <w:jc w:val="both"/>
        <w:rPr>
          <w:rFonts w:ascii="Arial" w:hAnsi="Arial" w:cs="Arial"/>
          <w:sz w:val="22"/>
          <w:lang w:val="en-GB"/>
        </w:rPr>
      </w:pPr>
    </w:p>
    <w:p w14:paraId="12CE3D3E" w14:textId="1CD1711F" w:rsidR="00B800D3" w:rsidRPr="004F73C6" w:rsidRDefault="00B80795" w:rsidP="00AE6247">
      <w:pPr>
        <w:pStyle w:val="ListParagraph"/>
        <w:ind w:left="0"/>
        <w:jc w:val="both"/>
        <w:rPr>
          <w:rFonts w:ascii="Arial" w:hAnsi="Arial" w:cs="Arial"/>
          <w:sz w:val="22"/>
          <w:lang w:val="en-GB"/>
        </w:rPr>
      </w:pPr>
      <w:r w:rsidRPr="004F73C6">
        <w:rPr>
          <w:rFonts w:ascii="Arial" w:hAnsi="Arial" w:cs="Arial"/>
          <w:sz w:val="22"/>
          <w:lang w:val="en-GB"/>
        </w:rPr>
        <w:t xml:space="preserve">Discussions </w:t>
      </w:r>
      <w:r w:rsidR="00D43987" w:rsidRPr="004F73C6">
        <w:rPr>
          <w:rFonts w:ascii="Arial" w:hAnsi="Arial" w:cs="Arial"/>
          <w:sz w:val="22"/>
          <w:lang w:val="en-GB"/>
        </w:rPr>
        <w:t xml:space="preserve">with older people </w:t>
      </w:r>
      <w:r w:rsidRPr="004F73C6">
        <w:rPr>
          <w:rFonts w:ascii="Arial" w:hAnsi="Arial" w:cs="Arial"/>
          <w:sz w:val="22"/>
          <w:lang w:val="en-GB"/>
        </w:rPr>
        <w:t xml:space="preserve">during the review </w:t>
      </w:r>
      <w:r w:rsidR="008F4E24" w:rsidRPr="004F73C6">
        <w:rPr>
          <w:rFonts w:ascii="Arial" w:hAnsi="Arial" w:cs="Arial"/>
          <w:sz w:val="22"/>
          <w:lang w:val="en-GB"/>
        </w:rPr>
        <w:t xml:space="preserve">in </w:t>
      </w:r>
      <w:r w:rsidR="00C30693" w:rsidRPr="004F73C6">
        <w:rPr>
          <w:rFonts w:ascii="Arial" w:hAnsi="Arial" w:cs="Arial"/>
          <w:i/>
          <w:sz w:val="22"/>
          <w:lang w:val="en-GB"/>
        </w:rPr>
        <w:t>Tanzania</w:t>
      </w:r>
      <w:r w:rsidR="008F4E24" w:rsidRPr="004F73C6">
        <w:rPr>
          <w:rFonts w:ascii="Arial" w:hAnsi="Arial" w:cs="Arial"/>
          <w:sz w:val="22"/>
          <w:lang w:val="en-GB"/>
        </w:rPr>
        <w:t xml:space="preserve"> and </w:t>
      </w:r>
      <w:r w:rsidR="00C30693" w:rsidRPr="004F73C6">
        <w:rPr>
          <w:rFonts w:ascii="Arial" w:hAnsi="Arial" w:cs="Arial"/>
          <w:i/>
          <w:sz w:val="22"/>
          <w:lang w:val="en-GB"/>
        </w:rPr>
        <w:t>Uganda</w:t>
      </w:r>
      <w:r w:rsidR="00DF4428" w:rsidRPr="004F73C6">
        <w:rPr>
          <w:rFonts w:ascii="Arial" w:hAnsi="Arial" w:cs="Arial"/>
          <w:sz w:val="22"/>
          <w:lang w:val="en-GB"/>
        </w:rPr>
        <w:t xml:space="preserve"> </w:t>
      </w:r>
      <w:r w:rsidR="00D43987" w:rsidRPr="004F73C6">
        <w:rPr>
          <w:rFonts w:ascii="Arial" w:hAnsi="Arial" w:cs="Arial"/>
          <w:sz w:val="22"/>
          <w:lang w:val="en-GB"/>
        </w:rPr>
        <w:t xml:space="preserve">showed </w:t>
      </w:r>
      <w:r w:rsidR="00A9417C" w:rsidRPr="004F73C6">
        <w:rPr>
          <w:rFonts w:ascii="Arial" w:hAnsi="Arial" w:cs="Arial"/>
          <w:sz w:val="22"/>
          <w:lang w:val="en-GB"/>
        </w:rPr>
        <w:t xml:space="preserve">a high level of determination </w:t>
      </w:r>
      <w:r w:rsidR="00D43987" w:rsidRPr="004F73C6">
        <w:rPr>
          <w:rFonts w:ascii="Arial" w:hAnsi="Arial" w:cs="Arial"/>
          <w:sz w:val="22"/>
          <w:lang w:val="en-GB"/>
        </w:rPr>
        <w:t xml:space="preserve">among OPAs </w:t>
      </w:r>
      <w:r w:rsidR="00A9417C" w:rsidRPr="004F73C6">
        <w:rPr>
          <w:rFonts w:ascii="Arial" w:hAnsi="Arial" w:cs="Arial"/>
          <w:sz w:val="22"/>
          <w:lang w:val="en-GB"/>
        </w:rPr>
        <w:t xml:space="preserve">to continue </w:t>
      </w:r>
      <w:r w:rsidR="00507B68" w:rsidRPr="004F73C6">
        <w:rPr>
          <w:rFonts w:ascii="Arial" w:hAnsi="Arial" w:cs="Arial"/>
          <w:sz w:val="22"/>
          <w:lang w:val="en-GB"/>
        </w:rPr>
        <w:t xml:space="preserve">their work after the programme </w:t>
      </w:r>
      <w:r w:rsidR="00A9417C" w:rsidRPr="004F73C6">
        <w:rPr>
          <w:rFonts w:ascii="Arial" w:hAnsi="Arial" w:cs="Arial"/>
          <w:sz w:val="22"/>
          <w:lang w:val="en-GB"/>
        </w:rPr>
        <w:t xml:space="preserve">– helped in part by recognition </w:t>
      </w:r>
      <w:r w:rsidR="004F53C7" w:rsidRPr="004F73C6">
        <w:rPr>
          <w:rFonts w:ascii="Arial" w:hAnsi="Arial" w:cs="Arial"/>
          <w:sz w:val="22"/>
          <w:lang w:val="en-GB"/>
        </w:rPr>
        <w:t xml:space="preserve">and acceptance of their role </w:t>
      </w:r>
      <w:r w:rsidR="00A9417C" w:rsidRPr="004F73C6">
        <w:rPr>
          <w:rFonts w:ascii="Arial" w:hAnsi="Arial" w:cs="Arial"/>
          <w:sz w:val="22"/>
          <w:lang w:val="en-GB"/>
        </w:rPr>
        <w:t xml:space="preserve">by government </w:t>
      </w:r>
      <w:r w:rsidR="004F53C7" w:rsidRPr="004F73C6">
        <w:rPr>
          <w:rFonts w:ascii="Arial" w:hAnsi="Arial" w:cs="Arial"/>
          <w:sz w:val="22"/>
          <w:lang w:val="en-GB"/>
        </w:rPr>
        <w:t xml:space="preserve">and community. </w:t>
      </w:r>
      <w:r w:rsidR="00456C64" w:rsidRPr="004F73C6">
        <w:rPr>
          <w:rFonts w:ascii="Arial" w:hAnsi="Arial" w:cs="Arial"/>
          <w:sz w:val="22"/>
          <w:lang w:val="en-GB"/>
        </w:rPr>
        <w:t xml:space="preserve">However, </w:t>
      </w:r>
      <w:r w:rsidR="00F34734" w:rsidRPr="004F73C6">
        <w:rPr>
          <w:rFonts w:ascii="Arial" w:hAnsi="Arial" w:cs="Arial"/>
          <w:sz w:val="22"/>
          <w:lang w:val="en-GB"/>
        </w:rPr>
        <w:t xml:space="preserve">it is likely that these groups under-estimate the </w:t>
      </w:r>
      <w:r w:rsidR="00456C64" w:rsidRPr="004F73C6">
        <w:rPr>
          <w:rFonts w:ascii="Arial" w:hAnsi="Arial" w:cs="Arial"/>
          <w:sz w:val="22"/>
          <w:lang w:val="en-GB"/>
        </w:rPr>
        <w:t>level of resources need</w:t>
      </w:r>
      <w:r w:rsidR="00F34734" w:rsidRPr="004F73C6">
        <w:rPr>
          <w:rFonts w:ascii="Arial" w:hAnsi="Arial" w:cs="Arial"/>
          <w:sz w:val="22"/>
          <w:lang w:val="en-GB"/>
        </w:rPr>
        <w:t>ed</w:t>
      </w:r>
      <w:r w:rsidR="00456C64" w:rsidRPr="004F73C6">
        <w:rPr>
          <w:rFonts w:ascii="Arial" w:hAnsi="Arial" w:cs="Arial"/>
          <w:sz w:val="22"/>
          <w:lang w:val="en-GB"/>
        </w:rPr>
        <w:t xml:space="preserve"> to maintain </w:t>
      </w:r>
      <w:r w:rsidR="00F34734" w:rsidRPr="004F73C6">
        <w:rPr>
          <w:rFonts w:ascii="Arial" w:hAnsi="Arial" w:cs="Arial"/>
          <w:sz w:val="22"/>
          <w:lang w:val="en-GB"/>
        </w:rPr>
        <w:t>the</w:t>
      </w:r>
      <w:r w:rsidR="00507B68" w:rsidRPr="004F73C6">
        <w:rPr>
          <w:rFonts w:ascii="Arial" w:hAnsi="Arial" w:cs="Arial"/>
          <w:sz w:val="22"/>
          <w:lang w:val="en-GB"/>
        </w:rPr>
        <w:t xml:space="preserve">ir </w:t>
      </w:r>
      <w:r w:rsidR="00653C78" w:rsidRPr="004F73C6">
        <w:rPr>
          <w:rFonts w:ascii="Arial" w:hAnsi="Arial" w:cs="Arial"/>
          <w:sz w:val="22"/>
          <w:lang w:val="en-GB"/>
        </w:rPr>
        <w:t>activities</w:t>
      </w:r>
      <w:r w:rsidR="00F34734" w:rsidRPr="004F73C6">
        <w:rPr>
          <w:rFonts w:ascii="Arial" w:hAnsi="Arial" w:cs="Arial"/>
          <w:sz w:val="22"/>
          <w:lang w:val="en-GB"/>
        </w:rPr>
        <w:t xml:space="preserve">. </w:t>
      </w:r>
      <w:r w:rsidR="00653C78" w:rsidRPr="004F73C6">
        <w:rPr>
          <w:rFonts w:ascii="Arial" w:hAnsi="Arial" w:cs="Arial"/>
          <w:sz w:val="22"/>
          <w:lang w:val="en-GB"/>
        </w:rPr>
        <w:t xml:space="preserve">For this reason, </w:t>
      </w:r>
      <w:r w:rsidR="00D24E00" w:rsidRPr="004F73C6">
        <w:rPr>
          <w:rFonts w:ascii="Arial" w:hAnsi="Arial" w:cs="Arial"/>
          <w:sz w:val="22"/>
          <w:lang w:val="en-GB"/>
        </w:rPr>
        <w:t>t</w:t>
      </w:r>
      <w:r w:rsidR="00806688" w:rsidRPr="004F73C6">
        <w:rPr>
          <w:rFonts w:ascii="Arial" w:hAnsi="Arial" w:cs="Arial"/>
          <w:sz w:val="22"/>
          <w:lang w:val="en-GB"/>
        </w:rPr>
        <w:t xml:space="preserve">he programme has made efforts to register the groups with local authorities – for example, the </w:t>
      </w:r>
      <w:r w:rsidR="00A614B3" w:rsidRPr="004F73C6">
        <w:rPr>
          <w:rFonts w:ascii="Arial" w:hAnsi="Arial" w:cs="Arial"/>
          <w:sz w:val="22"/>
          <w:lang w:val="en-GB"/>
        </w:rPr>
        <w:t xml:space="preserve">OPAs </w:t>
      </w:r>
      <w:r w:rsidR="00806688" w:rsidRPr="004F73C6">
        <w:rPr>
          <w:rFonts w:ascii="Arial" w:hAnsi="Arial" w:cs="Arial"/>
          <w:sz w:val="22"/>
          <w:lang w:val="en-GB"/>
        </w:rPr>
        <w:t xml:space="preserve">in </w:t>
      </w:r>
      <w:r w:rsidR="00C30693" w:rsidRPr="004F73C6">
        <w:rPr>
          <w:rFonts w:ascii="Arial" w:hAnsi="Arial" w:cs="Arial"/>
          <w:i/>
          <w:sz w:val="22"/>
          <w:lang w:val="en-GB"/>
        </w:rPr>
        <w:t>Uganda</w:t>
      </w:r>
      <w:r w:rsidR="00806688" w:rsidRPr="004F73C6">
        <w:rPr>
          <w:rFonts w:ascii="Arial" w:hAnsi="Arial" w:cs="Arial"/>
          <w:sz w:val="22"/>
          <w:lang w:val="en-GB"/>
        </w:rPr>
        <w:t xml:space="preserve"> have been registered </w:t>
      </w:r>
      <w:r w:rsidR="00152A16" w:rsidRPr="004F73C6">
        <w:rPr>
          <w:rFonts w:ascii="Arial" w:hAnsi="Arial" w:cs="Arial"/>
          <w:sz w:val="22"/>
          <w:lang w:val="en-GB"/>
        </w:rPr>
        <w:t xml:space="preserve">to become </w:t>
      </w:r>
      <w:r w:rsidR="00A614B3" w:rsidRPr="004F73C6">
        <w:rPr>
          <w:rFonts w:ascii="Arial" w:hAnsi="Arial" w:cs="Arial"/>
          <w:sz w:val="22"/>
          <w:lang w:val="en-GB"/>
        </w:rPr>
        <w:t xml:space="preserve">eligible for </w:t>
      </w:r>
      <w:r w:rsidR="00152A16" w:rsidRPr="004F73C6">
        <w:rPr>
          <w:rFonts w:ascii="Arial" w:hAnsi="Arial" w:cs="Arial"/>
          <w:sz w:val="22"/>
          <w:lang w:val="en-GB"/>
        </w:rPr>
        <w:t xml:space="preserve">IGA </w:t>
      </w:r>
      <w:r w:rsidR="00A614B3" w:rsidRPr="004F73C6">
        <w:rPr>
          <w:rFonts w:ascii="Arial" w:hAnsi="Arial" w:cs="Arial"/>
          <w:sz w:val="22"/>
          <w:lang w:val="en-GB"/>
        </w:rPr>
        <w:t xml:space="preserve">funding through </w:t>
      </w:r>
      <w:r w:rsidR="00152A16" w:rsidRPr="004F73C6">
        <w:rPr>
          <w:rFonts w:ascii="Arial" w:hAnsi="Arial" w:cs="Arial"/>
          <w:sz w:val="22"/>
          <w:lang w:val="en-GB"/>
        </w:rPr>
        <w:t xml:space="preserve">the Community-Driven Development Fund (CDDF). </w:t>
      </w:r>
      <w:r w:rsidR="00DD6ED4" w:rsidRPr="004F73C6">
        <w:rPr>
          <w:rFonts w:ascii="Arial" w:hAnsi="Arial" w:cs="Arial"/>
          <w:sz w:val="22"/>
          <w:lang w:val="en-GB"/>
        </w:rPr>
        <w:t xml:space="preserve">However, the programme has not, as yet documented any exit strategy. This is an important task for the remaining period, as future </w:t>
      </w:r>
      <w:r w:rsidR="00E16EF1" w:rsidRPr="004F73C6">
        <w:rPr>
          <w:rFonts w:ascii="Arial" w:hAnsi="Arial" w:cs="Arial"/>
          <w:sz w:val="22"/>
          <w:lang w:val="en-GB"/>
        </w:rPr>
        <w:t xml:space="preserve">priorities and </w:t>
      </w:r>
      <w:r w:rsidR="00DD6ED4" w:rsidRPr="004F73C6">
        <w:rPr>
          <w:rFonts w:ascii="Arial" w:hAnsi="Arial" w:cs="Arial"/>
          <w:sz w:val="22"/>
          <w:lang w:val="en-GB"/>
        </w:rPr>
        <w:t xml:space="preserve">funding opportunities become </w:t>
      </w:r>
      <w:r w:rsidR="00E16EF1" w:rsidRPr="004F73C6">
        <w:rPr>
          <w:rFonts w:ascii="Arial" w:hAnsi="Arial" w:cs="Arial"/>
          <w:sz w:val="22"/>
          <w:lang w:val="en-GB"/>
        </w:rPr>
        <w:t>clearer.</w:t>
      </w:r>
    </w:p>
    <w:p w14:paraId="0F459DFC" w14:textId="5315B073" w:rsidR="00A056C7" w:rsidRPr="004F73C6" w:rsidRDefault="00C57ADD" w:rsidP="00B15564">
      <w:pPr>
        <w:pStyle w:val="Heading1"/>
        <w:rPr>
          <w:lang w:val="en-GB"/>
        </w:rPr>
      </w:pPr>
      <w:bookmarkStart w:id="11" w:name="_Toc402974755"/>
      <w:r w:rsidRPr="004F73C6">
        <w:rPr>
          <w:lang w:val="en-GB"/>
        </w:rPr>
        <w:t>Key r</w:t>
      </w:r>
      <w:r w:rsidR="00B15564" w:rsidRPr="004F73C6">
        <w:rPr>
          <w:lang w:val="en-GB"/>
        </w:rPr>
        <w:t>ecommendations</w:t>
      </w:r>
      <w:r w:rsidR="009E32E5" w:rsidRPr="004F73C6">
        <w:rPr>
          <w:rStyle w:val="FootnoteReference"/>
          <w:lang w:val="en-GB"/>
        </w:rPr>
        <w:footnoteReference w:id="14"/>
      </w:r>
      <w:bookmarkEnd w:id="11"/>
      <w:r w:rsidR="009E32E5" w:rsidRPr="004F73C6">
        <w:rPr>
          <w:lang w:val="en-GB"/>
        </w:rPr>
        <w:t xml:space="preserve"> </w:t>
      </w:r>
    </w:p>
    <w:bookmarkEnd w:id="10"/>
    <w:p w14:paraId="43EEADED" w14:textId="15CB690F" w:rsidR="006F607D" w:rsidRPr="004F73C6" w:rsidRDefault="006F607D"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In the remaining period, it will be important to place significant emphasis on Health and HIV results areas if targets are to be achieved.</w:t>
      </w:r>
      <w:r w:rsidR="00C91A7A" w:rsidRPr="004F73C6">
        <w:rPr>
          <w:rFonts w:ascii="Arial" w:eastAsia="Times New Roman" w:hAnsi="Arial" w:cs="Arial"/>
          <w:bCs/>
          <w:sz w:val="22"/>
          <w:lang w:val="en-GB"/>
        </w:rPr>
        <w:t xml:space="preserve"> Similarly, the work on regional advocacy needs to be sharpened – some key </w:t>
      </w:r>
      <w:r w:rsidR="00B40AC1" w:rsidRPr="004F73C6">
        <w:rPr>
          <w:rFonts w:ascii="Arial" w:eastAsia="Times New Roman" w:hAnsi="Arial" w:cs="Arial"/>
          <w:bCs/>
          <w:sz w:val="22"/>
          <w:lang w:val="en-GB"/>
        </w:rPr>
        <w:t xml:space="preserve">research </w:t>
      </w:r>
      <w:r w:rsidR="00C91A7A" w:rsidRPr="004F73C6">
        <w:rPr>
          <w:rFonts w:ascii="Arial" w:eastAsia="Times New Roman" w:hAnsi="Arial" w:cs="Arial"/>
          <w:bCs/>
          <w:sz w:val="22"/>
          <w:lang w:val="en-GB"/>
        </w:rPr>
        <w:t xml:space="preserve">documents have been produced (e.g. on </w:t>
      </w:r>
      <w:r w:rsidR="00DD7C14" w:rsidRPr="004F73C6">
        <w:rPr>
          <w:rFonts w:ascii="Arial" w:eastAsia="Times New Roman" w:hAnsi="Arial" w:cs="Arial"/>
          <w:bCs/>
          <w:sz w:val="22"/>
          <w:lang w:val="en-GB"/>
        </w:rPr>
        <w:t xml:space="preserve">SADC </w:t>
      </w:r>
      <w:r w:rsidR="00C91A7A" w:rsidRPr="004F73C6">
        <w:rPr>
          <w:rFonts w:ascii="Arial" w:eastAsia="Times New Roman" w:hAnsi="Arial" w:cs="Arial"/>
          <w:bCs/>
          <w:sz w:val="22"/>
          <w:lang w:val="en-GB"/>
        </w:rPr>
        <w:t xml:space="preserve">social protection and health protocols), but the programme lacks a </w:t>
      </w:r>
      <w:r w:rsidR="00B72AB7" w:rsidRPr="004F73C6">
        <w:rPr>
          <w:rFonts w:ascii="Arial" w:eastAsia="Times New Roman" w:hAnsi="Arial" w:cs="Arial"/>
          <w:bCs/>
          <w:sz w:val="22"/>
          <w:lang w:val="en-GB"/>
        </w:rPr>
        <w:t xml:space="preserve">clear </w:t>
      </w:r>
      <w:r w:rsidR="00C91A7A" w:rsidRPr="004F73C6">
        <w:rPr>
          <w:rFonts w:ascii="Arial" w:eastAsia="Times New Roman" w:hAnsi="Arial" w:cs="Arial"/>
          <w:bCs/>
          <w:sz w:val="22"/>
          <w:lang w:val="en-GB"/>
        </w:rPr>
        <w:t xml:space="preserve">strategy to take this forward. </w:t>
      </w:r>
    </w:p>
    <w:p w14:paraId="71B47A3F" w14:textId="294F6EFB" w:rsidR="00B72AB7" w:rsidRPr="004F73C6" w:rsidRDefault="00325915"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G</w:t>
      </w:r>
      <w:r w:rsidR="00B72AB7" w:rsidRPr="004F73C6">
        <w:rPr>
          <w:rFonts w:ascii="Arial" w:eastAsia="Times New Roman" w:hAnsi="Arial" w:cs="Arial"/>
          <w:bCs/>
          <w:sz w:val="22"/>
          <w:lang w:val="en-GB"/>
        </w:rPr>
        <w:t xml:space="preserve">ender and equity issues need </w:t>
      </w:r>
      <w:r w:rsidRPr="004F73C6">
        <w:rPr>
          <w:rFonts w:ascii="Arial" w:eastAsia="Times New Roman" w:hAnsi="Arial" w:cs="Arial"/>
          <w:bCs/>
          <w:sz w:val="22"/>
          <w:lang w:val="en-GB"/>
        </w:rPr>
        <w:t xml:space="preserve">further attention – e.g. by identifying strategies to support meaningful participation of women in </w:t>
      </w:r>
      <w:r w:rsidR="008473DA" w:rsidRPr="004F73C6">
        <w:rPr>
          <w:rFonts w:ascii="Arial" w:eastAsia="Times New Roman" w:hAnsi="Arial" w:cs="Arial"/>
          <w:bCs/>
          <w:sz w:val="22"/>
          <w:lang w:val="en-GB"/>
        </w:rPr>
        <w:t xml:space="preserve">OPAs, and </w:t>
      </w:r>
      <w:r w:rsidR="00D2088F" w:rsidRPr="004F73C6">
        <w:rPr>
          <w:rFonts w:ascii="Arial" w:eastAsia="Times New Roman" w:hAnsi="Arial" w:cs="Arial"/>
          <w:bCs/>
          <w:sz w:val="22"/>
          <w:lang w:val="en-GB"/>
        </w:rPr>
        <w:t xml:space="preserve">building in analyses </w:t>
      </w:r>
      <w:r w:rsidR="008473DA" w:rsidRPr="004F73C6">
        <w:rPr>
          <w:rFonts w:ascii="Arial" w:eastAsia="Times New Roman" w:hAnsi="Arial" w:cs="Arial"/>
          <w:bCs/>
          <w:sz w:val="22"/>
          <w:lang w:val="en-GB"/>
        </w:rPr>
        <w:t xml:space="preserve">of how </w:t>
      </w:r>
      <w:r w:rsidR="00D2088F" w:rsidRPr="004F73C6">
        <w:rPr>
          <w:rFonts w:ascii="Arial" w:eastAsia="Times New Roman" w:hAnsi="Arial" w:cs="Arial"/>
          <w:bCs/>
          <w:sz w:val="22"/>
          <w:lang w:val="en-GB"/>
        </w:rPr>
        <w:t xml:space="preserve">issues concerning </w:t>
      </w:r>
      <w:r w:rsidR="008473DA" w:rsidRPr="004F73C6">
        <w:rPr>
          <w:rFonts w:ascii="Arial" w:eastAsia="Times New Roman" w:hAnsi="Arial" w:cs="Arial"/>
          <w:bCs/>
          <w:sz w:val="22"/>
          <w:lang w:val="en-GB"/>
        </w:rPr>
        <w:t xml:space="preserve">access to health and social protection </w:t>
      </w:r>
      <w:r w:rsidR="00D2088F" w:rsidRPr="004F73C6">
        <w:rPr>
          <w:rFonts w:ascii="Arial" w:eastAsia="Times New Roman" w:hAnsi="Arial" w:cs="Arial"/>
          <w:bCs/>
          <w:sz w:val="22"/>
          <w:lang w:val="en-GB"/>
        </w:rPr>
        <w:t xml:space="preserve">affect particular groups </w:t>
      </w:r>
      <w:r w:rsidR="008473DA" w:rsidRPr="004F73C6">
        <w:rPr>
          <w:rFonts w:ascii="Arial" w:eastAsia="Times New Roman" w:hAnsi="Arial" w:cs="Arial"/>
          <w:bCs/>
          <w:sz w:val="22"/>
          <w:lang w:val="en-GB"/>
        </w:rPr>
        <w:t>differently</w:t>
      </w:r>
      <w:r w:rsidR="00057256" w:rsidRPr="004F73C6">
        <w:rPr>
          <w:rFonts w:ascii="Arial" w:eastAsia="Times New Roman" w:hAnsi="Arial" w:cs="Arial"/>
          <w:bCs/>
          <w:sz w:val="22"/>
          <w:lang w:val="en-GB"/>
        </w:rPr>
        <w:t xml:space="preserve">. The programme needs to </w:t>
      </w:r>
      <w:r w:rsidR="008473DA" w:rsidRPr="004F73C6">
        <w:rPr>
          <w:rFonts w:ascii="Arial" w:eastAsia="Times New Roman" w:hAnsi="Arial" w:cs="Arial"/>
          <w:bCs/>
          <w:sz w:val="22"/>
          <w:lang w:val="en-GB"/>
        </w:rPr>
        <w:t>develop</w:t>
      </w:r>
      <w:r w:rsidR="005366FD" w:rsidRPr="004F73C6">
        <w:rPr>
          <w:rFonts w:ascii="Arial" w:eastAsia="Times New Roman" w:hAnsi="Arial" w:cs="Arial"/>
          <w:bCs/>
          <w:sz w:val="22"/>
          <w:lang w:val="en-GB"/>
        </w:rPr>
        <w:t xml:space="preserve"> </w:t>
      </w:r>
      <w:r w:rsidR="00516DDB" w:rsidRPr="004F73C6">
        <w:rPr>
          <w:rFonts w:ascii="Arial" w:eastAsia="Times New Roman" w:hAnsi="Arial" w:cs="Arial"/>
          <w:bCs/>
          <w:sz w:val="22"/>
          <w:lang w:val="en-GB"/>
        </w:rPr>
        <w:t xml:space="preserve">and document </w:t>
      </w:r>
      <w:r w:rsidR="005366FD" w:rsidRPr="004F73C6">
        <w:rPr>
          <w:rFonts w:ascii="Arial" w:eastAsia="Times New Roman" w:hAnsi="Arial" w:cs="Arial"/>
          <w:bCs/>
          <w:sz w:val="22"/>
          <w:lang w:val="en-GB"/>
        </w:rPr>
        <w:t>more inclusive approaches</w:t>
      </w:r>
      <w:r w:rsidR="008473DA" w:rsidRPr="004F73C6">
        <w:rPr>
          <w:rFonts w:ascii="Arial" w:eastAsia="Times New Roman" w:hAnsi="Arial" w:cs="Arial"/>
          <w:bCs/>
          <w:sz w:val="22"/>
          <w:lang w:val="en-GB"/>
        </w:rPr>
        <w:t>.</w:t>
      </w:r>
    </w:p>
    <w:p w14:paraId="427195F7" w14:textId="514C690E" w:rsidR="003E553F" w:rsidRPr="004F73C6" w:rsidRDefault="00D03AE6"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T</w:t>
      </w:r>
      <w:r w:rsidR="0021291E" w:rsidRPr="004F73C6">
        <w:rPr>
          <w:rFonts w:ascii="Arial" w:eastAsia="Times New Roman" w:hAnsi="Arial" w:cs="Arial"/>
          <w:bCs/>
          <w:sz w:val="22"/>
          <w:lang w:val="en-GB"/>
        </w:rPr>
        <w:t xml:space="preserve">here is a need to ensure </w:t>
      </w:r>
      <w:r w:rsidR="00976C75" w:rsidRPr="004F73C6">
        <w:rPr>
          <w:rFonts w:ascii="Arial" w:eastAsia="Times New Roman" w:hAnsi="Arial" w:cs="Arial"/>
          <w:bCs/>
          <w:sz w:val="22"/>
          <w:lang w:val="en-GB"/>
        </w:rPr>
        <w:t xml:space="preserve">that </w:t>
      </w:r>
      <w:r w:rsidR="00837F44" w:rsidRPr="004F73C6">
        <w:rPr>
          <w:rFonts w:ascii="Arial" w:eastAsia="Times New Roman" w:hAnsi="Arial" w:cs="Arial"/>
          <w:bCs/>
          <w:sz w:val="22"/>
          <w:lang w:val="en-GB"/>
        </w:rPr>
        <w:t xml:space="preserve">the results framework has sufficient ownership </w:t>
      </w:r>
      <w:r w:rsidR="00976C75" w:rsidRPr="004F73C6">
        <w:rPr>
          <w:rFonts w:ascii="Arial" w:eastAsia="Times New Roman" w:hAnsi="Arial" w:cs="Arial"/>
          <w:bCs/>
          <w:sz w:val="22"/>
          <w:lang w:val="en-GB"/>
        </w:rPr>
        <w:t>at country level</w:t>
      </w:r>
      <w:r w:rsidR="003A6DD5" w:rsidRPr="004F73C6">
        <w:rPr>
          <w:rFonts w:ascii="Arial" w:eastAsia="Times New Roman" w:hAnsi="Arial" w:cs="Arial"/>
          <w:bCs/>
          <w:sz w:val="22"/>
          <w:lang w:val="en-GB"/>
        </w:rPr>
        <w:t xml:space="preserve">. This </w:t>
      </w:r>
      <w:r w:rsidR="00516DDB" w:rsidRPr="004F73C6">
        <w:rPr>
          <w:rFonts w:ascii="Arial" w:eastAsia="Times New Roman" w:hAnsi="Arial" w:cs="Arial"/>
          <w:bCs/>
          <w:sz w:val="22"/>
          <w:lang w:val="en-GB"/>
        </w:rPr>
        <w:t xml:space="preserve">must </w:t>
      </w:r>
      <w:r w:rsidR="000C48AA" w:rsidRPr="004F73C6">
        <w:rPr>
          <w:rFonts w:ascii="Arial" w:eastAsia="Times New Roman" w:hAnsi="Arial" w:cs="Arial"/>
          <w:bCs/>
          <w:sz w:val="22"/>
          <w:lang w:val="en-GB"/>
        </w:rPr>
        <w:t xml:space="preserve">be </w:t>
      </w:r>
      <w:r w:rsidR="00346D81" w:rsidRPr="004F73C6">
        <w:rPr>
          <w:rFonts w:ascii="Arial" w:eastAsia="Times New Roman" w:hAnsi="Arial" w:cs="Arial"/>
          <w:bCs/>
          <w:sz w:val="22"/>
          <w:lang w:val="en-GB"/>
        </w:rPr>
        <w:t>more user-friendly for data input and analysis,</w:t>
      </w:r>
      <w:r w:rsidR="00976C75" w:rsidRPr="004F73C6">
        <w:rPr>
          <w:rFonts w:ascii="Arial" w:eastAsia="Times New Roman" w:hAnsi="Arial" w:cs="Arial"/>
          <w:bCs/>
          <w:sz w:val="22"/>
          <w:lang w:val="en-GB"/>
        </w:rPr>
        <w:t xml:space="preserve"> perhaps</w:t>
      </w:r>
      <w:r w:rsidR="00B35228" w:rsidRPr="004F73C6">
        <w:rPr>
          <w:rFonts w:ascii="Arial" w:eastAsia="Times New Roman" w:hAnsi="Arial" w:cs="Arial"/>
          <w:bCs/>
          <w:sz w:val="22"/>
          <w:lang w:val="en-GB"/>
        </w:rPr>
        <w:t xml:space="preserve"> by </w:t>
      </w:r>
      <w:r w:rsidR="000C48AA" w:rsidRPr="004F73C6">
        <w:rPr>
          <w:rFonts w:ascii="Arial" w:eastAsia="Times New Roman" w:hAnsi="Arial" w:cs="Arial"/>
          <w:bCs/>
          <w:sz w:val="22"/>
          <w:lang w:val="en-GB"/>
        </w:rPr>
        <w:t xml:space="preserve">developing </w:t>
      </w:r>
      <w:r w:rsidR="00B35228" w:rsidRPr="004F73C6">
        <w:rPr>
          <w:rFonts w:ascii="Arial" w:eastAsia="Times New Roman" w:hAnsi="Arial" w:cs="Arial"/>
          <w:bCs/>
          <w:sz w:val="22"/>
          <w:lang w:val="en-GB"/>
        </w:rPr>
        <w:t xml:space="preserve">a worksheet for each country. </w:t>
      </w:r>
      <w:r w:rsidR="000C48AA" w:rsidRPr="004F73C6">
        <w:rPr>
          <w:rFonts w:ascii="Arial" w:eastAsia="Times New Roman" w:hAnsi="Arial" w:cs="Arial"/>
          <w:bCs/>
          <w:sz w:val="22"/>
          <w:lang w:val="en-GB"/>
        </w:rPr>
        <w:t>The point is that c</w:t>
      </w:r>
      <w:r w:rsidR="00B35228" w:rsidRPr="004F73C6">
        <w:rPr>
          <w:rFonts w:ascii="Arial" w:eastAsia="Times New Roman" w:hAnsi="Arial" w:cs="Arial"/>
          <w:bCs/>
          <w:sz w:val="22"/>
          <w:lang w:val="en-GB"/>
        </w:rPr>
        <w:t xml:space="preserve">ountry-level theories of change need to be clear, and to form the basis of </w:t>
      </w:r>
      <w:r w:rsidR="004153AA" w:rsidRPr="004F73C6">
        <w:rPr>
          <w:rFonts w:ascii="Arial" w:eastAsia="Times New Roman" w:hAnsi="Arial" w:cs="Arial"/>
          <w:bCs/>
          <w:sz w:val="22"/>
          <w:lang w:val="en-GB"/>
        </w:rPr>
        <w:t xml:space="preserve">evidence building, testing, </w:t>
      </w:r>
      <w:r w:rsidR="00B35228" w:rsidRPr="004F73C6">
        <w:rPr>
          <w:rFonts w:ascii="Arial" w:eastAsia="Times New Roman" w:hAnsi="Arial" w:cs="Arial"/>
          <w:bCs/>
          <w:sz w:val="22"/>
          <w:lang w:val="en-GB"/>
        </w:rPr>
        <w:t>reflection and learning</w:t>
      </w:r>
      <w:r w:rsidR="00346D81" w:rsidRPr="004F73C6">
        <w:rPr>
          <w:rFonts w:ascii="Arial" w:eastAsia="Times New Roman" w:hAnsi="Arial" w:cs="Arial"/>
          <w:bCs/>
          <w:sz w:val="22"/>
          <w:lang w:val="en-GB"/>
        </w:rPr>
        <w:t xml:space="preserve">, and for dialogue </w:t>
      </w:r>
      <w:r w:rsidR="00B35228" w:rsidRPr="004F73C6">
        <w:rPr>
          <w:rFonts w:ascii="Arial" w:eastAsia="Times New Roman" w:hAnsi="Arial" w:cs="Arial"/>
          <w:bCs/>
          <w:sz w:val="22"/>
          <w:lang w:val="en-GB"/>
        </w:rPr>
        <w:t xml:space="preserve">between </w:t>
      </w:r>
      <w:r w:rsidR="003A6DD5" w:rsidRPr="004F73C6">
        <w:rPr>
          <w:rFonts w:ascii="Arial" w:eastAsia="Times New Roman" w:hAnsi="Arial" w:cs="Arial"/>
          <w:bCs/>
          <w:sz w:val="22"/>
          <w:lang w:val="en-GB"/>
        </w:rPr>
        <w:t>all actors</w:t>
      </w:r>
      <w:r w:rsidR="00FF792D" w:rsidRPr="004F73C6">
        <w:rPr>
          <w:rFonts w:ascii="Arial" w:eastAsia="Times New Roman" w:hAnsi="Arial" w:cs="Arial"/>
          <w:bCs/>
          <w:sz w:val="22"/>
          <w:lang w:val="en-GB"/>
        </w:rPr>
        <w:t xml:space="preserve"> in the programme</w:t>
      </w:r>
      <w:r w:rsidR="004B677F" w:rsidRPr="004F73C6">
        <w:rPr>
          <w:rFonts w:ascii="Arial" w:eastAsia="Times New Roman" w:hAnsi="Arial" w:cs="Arial"/>
          <w:bCs/>
          <w:sz w:val="22"/>
          <w:lang w:val="en-GB"/>
        </w:rPr>
        <w:t>.</w:t>
      </w:r>
      <w:r w:rsidR="004153AA" w:rsidRPr="004F73C6">
        <w:rPr>
          <w:rFonts w:ascii="Arial" w:eastAsia="Times New Roman" w:hAnsi="Arial" w:cs="Arial"/>
          <w:bCs/>
          <w:sz w:val="22"/>
          <w:lang w:val="en-GB"/>
        </w:rPr>
        <w:t xml:space="preserve"> </w:t>
      </w:r>
      <w:r w:rsidR="000C48AA" w:rsidRPr="004F73C6">
        <w:rPr>
          <w:rFonts w:ascii="Arial" w:eastAsia="Times New Roman" w:hAnsi="Arial" w:cs="Arial"/>
          <w:bCs/>
          <w:sz w:val="22"/>
          <w:lang w:val="en-GB"/>
        </w:rPr>
        <w:t>These r</w:t>
      </w:r>
      <w:r w:rsidR="00C159B3" w:rsidRPr="004F73C6">
        <w:rPr>
          <w:rFonts w:ascii="Arial" w:eastAsia="Times New Roman" w:hAnsi="Arial" w:cs="Arial"/>
          <w:bCs/>
          <w:sz w:val="22"/>
          <w:lang w:val="en-GB"/>
        </w:rPr>
        <w:t xml:space="preserve">esults frameworks </w:t>
      </w:r>
      <w:r w:rsidR="000C48AA" w:rsidRPr="004F73C6">
        <w:rPr>
          <w:rFonts w:ascii="Arial" w:eastAsia="Times New Roman" w:hAnsi="Arial" w:cs="Arial"/>
          <w:bCs/>
          <w:sz w:val="22"/>
          <w:lang w:val="en-GB"/>
        </w:rPr>
        <w:t xml:space="preserve">must </w:t>
      </w:r>
      <w:r w:rsidR="004153AA" w:rsidRPr="004F73C6">
        <w:rPr>
          <w:rFonts w:ascii="Arial" w:eastAsia="Times New Roman" w:hAnsi="Arial" w:cs="Arial"/>
          <w:bCs/>
          <w:sz w:val="22"/>
          <w:lang w:val="en-GB"/>
        </w:rPr>
        <w:t xml:space="preserve">be </w:t>
      </w:r>
      <w:r w:rsidR="00A56987" w:rsidRPr="004F73C6">
        <w:rPr>
          <w:rFonts w:ascii="Arial" w:eastAsia="Times New Roman" w:hAnsi="Arial" w:cs="Arial"/>
          <w:bCs/>
          <w:sz w:val="22"/>
          <w:lang w:val="en-GB"/>
        </w:rPr>
        <w:t xml:space="preserve">understood and </w:t>
      </w:r>
      <w:r w:rsidR="004153AA" w:rsidRPr="004F73C6">
        <w:rPr>
          <w:rFonts w:ascii="Arial" w:eastAsia="Times New Roman" w:hAnsi="Arial" w:cs="Arial"/>
          <w:bCs/>
          <w:sz w:val="22"/>
          <w:lang w:val="en-GB"/>
        </w:rPr>
        <w:t xml:space="preserve">owned </w:t>
      </w:r>
      <w:r w:rsidR="00C65AA9" w:rsidRPr="004F73C6">
        <w:rPr>
          <w:rFonts w:ascii="Arial" w:eastAsia="Times New Roman" w:hAnsi="Arial" w:cs="Arial"/>
          <w:bCs/>
          <w:sz w:val="22"/>
          <w:lang w:val="en-GB"/>
        </w:rPr>
        <w:t xml:space="preserve">at the country programme level </w:t>
      </w:r>
      <w:r w:rsidR="004153AA" w:rsidRPr="004F73C6">
        <w:rPr>
          <w:rFonts w:ascii="Arial" w:eastAsia="Times New Roman" w:hAnsi="Arial" w:cs="Arial"/>
          <w:bCs/>
          <w:sz w:val="22"/>
          <w:lang w:val="en-GB"/>
        </w:rPr>
        <w:t xml:space="preserve">for analysis and </w:t>
      </w:r>
      <w:r w:rsidR="00C65AA9" w:rsidRPr="004F73C6">
        <w:rPr>
          <w:rFonts w:ascii="Arial" w:eastAsia="Times New Roman" w:hAnsi="Arial" w:cs="Arial"/>
          <w:bCs/>
          <w:sz w:val="22"/>
          <w:lang w:val="en-GB"/>
        </w:rPr>
        <w:t xml:space="preserve">follow-up </w:t>
      </w:r>
      <w:r w:rsidR="004153AA" w:rsidRPr="004F73C6">
        <w:rPr>
          <w:rFonts w:ascii="Arial" w:eastAsia="Times New Roman" w:hAnsi="Arial" w:cs="Arial"/>
          <w:bCs/>
          <w:sz w:val="22"/>
          <w:lang w:val="en-GB"/>
        </w:rPr>
        <w:t>action to be effective.</w:t>
      </w:r>
      <w:r w:rsidR="00C159B3" w:rsidRPr="004F73C6">
        <w:rPr>
          <w:rFonts w:ascii="Arial" w:eastAsia="Times New Roman" w:hAnsi="Arial" w:cs="Arial"/>
          <w:bCs/>
          <w:sz w:val="22"/>
          <w:lang w:val="en-GB"/>
        </w:rPr>
        <w:t xml:space="preserve"> </w:t>
      </w:r>
    </w:p>
    <w:p w14:paraId="66E3A41F" w14:textId="6F402529" w:rsidR="004072C3" w:rsidRPr="004F73C6" w:rsidRDefault="00905F8D"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 xml:space="preserve">The </w:t>
      </w:r>
      <w:r w:rsidR="000F35DF" w:rsidRPr="004F73C6">
        <w:rPr>
          <w:rFonts w:ascii="Arial" w:eastAsia="Times New Roman" w:hAnsi="Arial" w:cs="Arial"/>
          <w:bCs/>
          <w:sz w:val="22"/>
          <w:lang w:val="en-GB"/>
        </w:rPr>
        <w:t xml:space="preserve">use of </w:t>
      </w:r>
      <w:r w:rsidRPr="004F73C6">
        <w:rPr>
          <w:rFonts w:ascii="Arial" w:eastAsia="Times New Roman" w:hAnsi="Arial" w:cs="Arial"/>
          <w:bCs/>
          <w:sz w:val="22"/>
          <w:lang w:val="en-GB"/>
        </w:rPr>
        <w:t>high</w:t>
      </w:r>
      <w:r w:rsidR="000C6492" w:rsidRPr="004F73C6">
        <w:rPr>
          <w:rFonts w:ascii="Arial" w:eastAsia="Times New Roman" w:hAnsi="Arial" w:cs="Arial"/>
          <w:bCs/>
          <w:sz w:val="22"/>
          <w:lang w:val="en-GB"/>
        </w:rPr>
        <w:t xml:space="preserve"> </w:t>
      </w:r>
      <w:r w:rsidRPr="004F73C6">
        <w:rPr>
          <w:rFonts w:ascii="Arial" w:eastAsia="Times New Roman" w:hAnsi="Arial" w:cs="Arial"/>
          <w:bCs/>
          <w:sz w:val="22"/>
          <w:lang w:val="en-GB"/>
        </w:rPr>
        <w:t xml:space="preserve">level indicators </w:t>
      </w:r>
      <w:r w:rsidR="00BC0C7C" w:rsidRPr="004F73C6">
        <w:rPr>
          <w:rFonts w:ascii="Arial" w:eastAsia="Times New Roman" w:hAnsi="Arial" w:cs="Arial"/>
          <w:bCs/>
          <w:sz w:val="22"/>
          <w:lang w:val="en-GB"/>
        </w:rPr>
        <w:t>within the results framework mean</w:t>
      </w:r>
      <w:r w:rsidR="000F35DF" w:rsidRPr="004F73C6">
        <w:rPr>
          <w:rFonts w:ascii="Arial" w:eastAsia="Times New Roman" w:hAnsi="Arial" w:cs="Arial"/>
          <w:bCs/>
          <w:sz w:val="22"/>
          <w:lang w:val="en-GB"/>
        </w:rPr>
        <w:t>s</w:t>
      </w:r>
      <w:r w:rsidRPr="004F73C6">
        <w:rPr>
          <w:rFonts w:ascii="Arial" w:eastAsia="Times New Roman" w:hAnsi="Arial" w:cs="Arial"/>
          <w:bCs/>
          <w:sz w:val="22"/>
          <w:lang w:val="en-GB"/>
        </w:rPr>
        <w:t xml:space="preserve"> that </w:t>
      </w:r>
      <w:r w:rsidR="00BC0C7C" w:rsidRPr="004F73C6">
        <w:rPr>
          <w:rFonts w:ascii="Arial" w:eastAsia="Times New Roman" w:hAnsi="Arial" w:cs="Arial"/>
          <w:bCs/>
          <w:sz w:val="22"/>
          <w:lang w:val="en-GB"/>
        </w:rPr>
        <w:t>the link</w:t>
      </w:r>
      <w:r w:rsidR="00FF792D" w:rsidRPr="004F73C6">
        <w:rPr>
          <w:rFonts w:ascii="Arial" w:eastAsia="Times New Roman" w:hAnsi="Arial" w:cs="Arial"/>
          <w:bCs/>
          <w:sz w:val="22"/>
          <w:lang w:val="en-GB"/>
        </w:rPr>
        <w:t>s</w:t>
      </w:r>
      <w:r w:rsidR="00BC0C7C" w:rsidRPr="004F73C6">
        <w:rPr>
          <w:rFonts w:ascii="Arial" w:eastAsia="Times New Roman" w:hAnsi="Arial" w:cs="Arial"/>
          <w:bCs/>
          <w:sz w:val="22"/>
          <w:lang w:val="en-GB"/>
        </w:rPr>
        <w:t xml:space="preserve"> between activities </w:t>
      </w:r>
      <w:r w:rsidR="00FF792D" w:rsidRPr="004F73C6">
        <w:rPr>
          <w:rFonts w:ascii="Arial" w:eastAsia="Times New Roman" w:hAnsi="Arial" w:cs="Arial"/>
          <w:bCs/>
          <w:sz w:val="22"/>
          <w:lang w:val="en-GB"/>
        </w:rPr>
        <w:t xml:space="preserve">carried out by AFFORD </w:t>
      </w:r>
      <w:r w:rsidR="00BC0C7C" w:rsidRPr="004F73C6">
        <w:rPr>
          <w:rFonts w:ascii="Arial" w:eastAsia="Times New Roman" w:hAnsi="Arial" w:cs="Arial"/>
          <w:bCs/>
          <w:sz w:val="22"/>
          <w:lang w:val="en-GB"/>
        </w:rPr>
        <w:t xml:space="preserve">and </w:t>
      </w:r>
      <w:r w:rsidR="00FF792D" w:rsidRPr="004F73C6">
        <w:rPr>
          <w:rFonts w:ascii="Arial" w:eastAsia="Times New Roman" w:hAnsi="Arial" w:cs="Arial"/>
          <w:bCs/>
          <w:sz w:val="22"/>
          <w:lang w:val="en-GB"/>
        </w:rPr>
        <w:t xml:space="preserve">the </w:t>
      </w:r>
      <w:r w:rsidR="00BC0C7C" w:rsidRPr="004F73C6">
        <w:rPr>
          <w:rFonts w:ascii="Arial" w:eastAsia="Times New Roman" w:hAnsi="Arial" w:cs="Arial"/>
          <w:bCs/>
          <w:sz w:val="22"/>
          <w:lang w:val="en-GB"/>
        </w:rPr>
        <w:t xml:space="preserve">results recorded are not clear. </w:t>
      </w:r>
      <w:r w:rsidR="001F3252" w:rsidRPr="004F73C6">
        <w:rPr>
          <w:rFonts w:ascii="Arial" w:eastAsia="Times New Roman" w:hAnsi="Arial" w:cs="Arial"/>
          <w:bCs/>
          <w:sz w:val="22"/>
          <w:lang w:val="en-GB"/>
        </w:rPr>
        <w:t>Similarly, the</w:t>
      </w:r>
      <w:r w:rsidR="004072C3" w:rsidRPr="004F73C6">
        <w:rPr>
          <w:rFonts w:ascii="Arial" w:eastAsia="Times New Roman" w:hAnsi="Arial" w:cs="Arial"/>
          <w:bCs/>
          <w:sz w:val="22"/>
          <w:lang w:val="en-GB"/>
        </w:rPr>
        <w:t xml:space="preserve"> programme lacks </w:t>
      </w:r>
      <w:r w:rsidR="007D2657" w:rsidRPr="004F73C6">
        <w:rPr>
          <w:rFonts w:ascii="Arial" w:eastAsia="Times New Roman" w:hAnsi="Arial" w:cs="Arial"/>
          <w:bCs/>
          <w:sz w:val="22"/>
          <w:lang w:val="en-GB"/>
        </w:rPr>
        <w:t xml:space="preserve">a </w:t>
      </w:r>
      <w:r w:rsidR="004072C3" w:rsidRPr="004F73C6">
        <w:rPr>
          <w:rFonts w:ascii="Arial" w:eastAsia="Times New Roman" w:hAnsi="Arial" w:cs="Arial"/>
          <w:bCs/>
          <w:sz w:val="22"/>
          <w:lang w:val="en-GB"/>
        </w:rPr>
        <w:t xml:space="preserve">strong set of narratives </w:t>
      </w:r>
      <w:r w:rsidR="00795905" w:rsidRPr="004F73C6">
        <w:rPr>
          <w:rFonts w:ascii="Arial" w:eastAsia="Times New Roman" w:hAnsi="Arial" w:cs="Arial"/>
          <w:bCs/>
          <w:sz w:val="22"/>
          <w:lang w:val="en-GB"/>
        </w:rPr>
        <w:t xml:space="preserve">to </w:t>
      </w:r>
      <w:r w:rsidR="001F3252" w:rsidRPr="004F73C6">
        <w:rPr>
          <w:rFonts w:ascii="Arial" w:eastAsia="Times New Roman" w:hAnsi="Arial" w:cs="Arial"/>
          <w:bCs/>
          <w:sz w:val="22"/>
          <w:lang w:val="en-GB"/>
        </w:rPr>
        <w:t xml:space="preserve">communicate </w:t>
      </w:r>
      <w:r w:rsidR="00330FE8" w:rsidRPr="004F73C6">
        <w:rPr>
          <w:rFonts w:ascii="Arial" w:eastAsia="Times New Roman" w:hAnsi="Arial" w:cs="Arial"/>
          <w:bCs/>
          <w:sz w:val="22"/>
          <w:lang w:val="en-GB"/>
        </w:rPr>
        <w:t xml:space="preserve">key strategies and </w:t>
      </w:r>
      <w:r w:rsidR="00795905" w:rsidRPr="004F73C6">
        <w:rPr>
          <w:rFonts w:ascii="Arial" w:eastAsia="Times New Roman" w:hAnsi="Arial" w:cs="Arial"/>
          <w:bCs/>
          <w:sz w:val="22"/>
          <w:lang w:val="en-GB"/>
        </w:rPr>
        <w:t>their expected contribution to change.</w:t>
      </w:r>
      <w:r w:rsidR="007D2657" w:rsidRPr="004F73C6">
        <w:rPr>
          <w:rFonts w:ascii="Arial" w:eastAsia="Times New Roman" w:hAnsi="Arial" w:cs="Arial"/>
          <w:bCs/>
          <w:sz w:val="22"/>
          <w:lang w:val="en-GB"/>
        </w:rPr>
        <w:t xml:space="preserve"> </w:t>
      </w:r>
      <w:r w:rsidR="001F3252" w:rsidRPr="004F73C6">
        <w:rPr>
          <w:rFonts w:ascii="Arial" w:eastAsia="Times New Roman" w:hAnsi="Arial" w:cs="Arial"/>
          <w:bCs/>
          <w:sz w:val="22"/>
          <w:lang w:val="en-GB"/>
        </w:rPr>
        <w:t>Intended r</w:t>
      </w:r>
      <w:r w:rsidR="00640BA1" w:rsidRPr="004F73C6">
        <w:rPr>
          <w:rFonts w:ascii="Arial" w:eastAsia="Times New Roman" w:hAnsi="Arial" w:cs="Arial"/>
          <w:bCs/>
          <w:sz w:val="22"/>
          <w:lang w:val="en-GB"/>
        </w:rPr>
        <w:t>esults chains</w:t>
      </w:r>
      <w:r w:rsidR="001F3252" w:rsidRPr="004F73C6">
        <w:rPr>
          <w:rFonts w:ascii="Arial" w:eastAsia="Times New Roman" w:hAnsi="Arial" w:cs="Arial"/>
          <w:bCs/>
          <w:sz w:val="22"/>
          <w:lang w:val="en-GB"/>
        </w:rPr>
        <w:t xml:space="preserve"> which </w:t>
      </w:r>
      <w:r w:rsidR="00640BA1" w:rsidRPr="004F73C6">
        <w:rPr>
          <w:rFonts w:ascii="Arial" w:eastAsia="Times New Roman" w:hAnsi="Arial" w:cs="Arial"/>
          <w:bCs/>
          <w:sz w:val="22"/>
          <w:lang w:val="en-GB"/>
        </w:rPr>
        <w:t xml:space="preserve">link activity, output, outcome and impact </w:t>
      </w:r>
      <w:r w:rsidR="00A56987" w:rsidRPr="004F73C6">
        <w:rPr>
          <w:rFonts w:ascii="Arial" w:eastAsia="Times New Roman" w:hAnsi="Arial" w:cs="Arial"/>
          <w:bCs/>
          <w:sz w:val="22"/>
          <w:lang w:val="en-GB"/>
        </w:rPr>
        <w:t xml:space="preserve">must </w:t>
      </w:r>
      <w:r w:rsidR="00640BA1" w:rsidRPr="004F73C6">
        <w:rPr>
          <w:rFonts w:ascii="Arial" w:eastAsia="Times New Roman" w:hAnsi="Arial" w:cs="Arial"/>
          <w:bCs/>
          <w:sz w:val="22"/>
          <w:lang w:val="en-GB"/>
        </w:rPr>
        <w:t xml:space="preserve">be clear </w:t>
      </w:r>
      <w:r w:rsidR="00A56987" w:rsidRPr="004F73C6">
        <w:rPr>
          <w:rFonts w:ascii="Arial" w:eastAsia="Times New Roman" w:hAnsi="Arial" w:cs="Arial"/>
          <w:bCs/>
          <w:sz w:val="22"/>
          <w:lang w:val="en-GB"/>
        </w:rPr>
        <w:t>to allow meaningful evaluation</w:t>
      </w:r>
      <w:r w:rsidR="00640BA1" w:rsidRPr="004F73C6">
        <w:rPr>
          <w:rFonts w:ascii="Arial" w:eastAsia="Times New Roman" w:hAnsi="Arial" w:cs="Arial"/>
          <w:bCs/>
          <w:sz w:val="22"/>
          <w:lang w:val="en-GB"/>
        </w:rPr>
        <w:t xml:space="preserve">. </w:t>
      </w:r>
      <w:r w:rsidR="007D2657" w:rsidRPr="004F73C6">
        <w:rPr>
          <w:rFonts w:ascii="Arial" w:eastAsia="Times New Roman" w:hAnsi="Arial" w:cs="Arial"/>
          <w:bCs/>
          <w:sz w:val="22"/>
          <w:lang w:val="en-GB"/>
        </w:rPr>
        <w:t xml:space="preserve">It is recommended that </w:t>
      </w:r>
      <w:r w:rsidR="000D4ABD" w:rsidRPr="004F73C6">
        <w:rPr>
          <w:rFonts w:ascii="Arial" w:eastAsia="Times New Roman" w:hAnsi="Arial" w:cs="Arial"/>
          <w:bCs/>
          <w:sz w:val="22"/>
          <w:lang w:val="en-GB"/>
        </w:rPr>
        <w:t xml:space="preserve">the </w:t>
      </w:r>
      <w:r w:rsidR="00521EF0" w:rsidRPr="004F73C6">
        <w:rPr>
          <w:rFonts w:ascii="Arial" w:eastAsia="Times New Roman" w:hAnsi="Arial" w:cs="Arial"/>
          <w:bCs/>
          <w:sz w:val="22"/>
          <w:lang w:val="en-GB"/>
        </w:rPr>
        <w:t>programme</w:t>
      </w:r>
      <w:r w:rsidR="007D2657" w:rsidRPr="004F73C6">
        <w:rPr>
          <w:rFonts w:ascii="Arial" w:eastAsia="Times New Roman" w:hAnsi="Arial" w:cs="Arial"/>
          <w:bCs/>
          <w:sz w:val="22"/>
          <w:lang w:val="en-GB"/>
        </w:rPr>
        <w:t xml:space="preserve"> map</w:t>
      </w:r>
      <w:r w:rsidR="00521EF0" w:rsidRPr="004F73C6">
        <w:rPr>
          <w:rFonts w:ascii="Arial" w:eastAsia="Times New Roman" w:hAnsi="Arial" w:cs="Arial"/>
          <w:bCs/>
          <w:sz w:val="22"/>
          <w:lang w:val="en-GB"/>
        </w:rPr>
        <w:t>s</w:t>
      </w:r>
      <w:r w:rsidR="007D2657" w:rsidRPr="004F73C6">
        <w:rPr>
          <w:rFonts w:ascii="Arial" w:eastAsia="Times New Roman" w:hAnsi="Arial" w:cs="Arial"/>
          <w:bCs/>
          <w:sz w:val="22"/>
          <w:lang w:val="en-GB"/>
        </w:rPr>
        <w:t xml:space="preserve"> out some </w:t>
      </w:r>
      <w:r w:rsidR="001F3252" w:rsidRPr="004F73C6">
        <w:rPr>
          <w:rFonts w:ascii="Arial" w:eastAsia="Times New Roman" w:hAnsi="Arial" w:cs="Arial"/>
          <w:bCs/>
          <w:sz w:val="22"/>
          <w:lang w:val="en-GB"/>
        </w:rPr>
        <w:t xml:space="preserve">of the most </w:t>
      </w:r>
      <w:r w:rsidR="007D2657" w:rsidRPr="004F73C6">
        <w:rPr>
          <w:rFonts w:ascii="Arial" w:eastAsia="Times New Roman" w:hAnsi="Arial" w:cs="Arial"/>
          <w:bCs/>
          <w:sz w:val="22"/>
          <w:lang w:val="en-GB"/>
        </w:rPr>
        <w:t xml:space="preserve">important ‘impact pathways’ </w:t>
      </w:r>
      <w:r w:rsidR="000D4ABD" w:rsidRPr="004F73C6">
        <w:rPr>
          <w:rFonts w:ascii="Arial" w:eastAsia="Times New Roman" w:hAnsi="Arial" w:cs="Arial"/>
          <w:bCs/>
          <w:sz w:val="22"/>
          <w:lang w:val="en-GB"/>
        </w:rPr>
        <w:t>to better communicate</w:t>
      </w:r>
      <w:r w:rsidR="00F4645E" w:rsidRPr="004F73C6">
        <w:rPr>
          <w:rFonts w:ascii="Arial" w:eastAsia="Times New Roman" w:hAnsi="Arial" w:cs="Arial"/>
          <w:bCs/>
          <w:sz w:val="22"/>
          <w:lang w:val="en-GB"/>
        </w:rPr>
        <w:t>, test</w:t>
      </w:r>
      <w:r w:rsidR="000D4ABD" w:rsidRPr="004F73C6">
        <w:rPr>
          <w:rFonts w:ascii="Arial" w:eastAsia="Times New Roman" w:hAnsi="Arial" w:cs="Arial"/>
          <w:bCs/>
          <w:sz w:val="22"/>
          <w:lang w:val="en-GB"/>
        </w:rPr>
        <w:t xml:space="preserve"> and demonstrate the effectiveness of the strategies used</w:t>
      </w:r>
      <w:r w:rsidR="00F4645E" w:rsidRPr="004F73C6">
        <w:rPr>
          <w:rFonts w:ascii="Arial" w:eastAsia="Times New Roman" w:hAnsi="Arial" w:cs="Arial"/>
          <w:bCs/>
          <w:sz w:val="22"/>
          <w:lang w:val="en-GB"/>
        </w:rPr>
        <w:t>, particularly for the end of project evaluation</w:t>
      </w:r>
      <w:r w:rsidR="000D4ABD" w:rsidRPr="004F73C6">
        <w:rPr>
          <w:rFonts w:ascii="Arial" w:eastAsia="Times New Roman" w:hAnsi="Arial" w:cs="Arial"/>
          <w:bCs/>
          <w:sz w:val="22"/>
          <w:lang w:val="en-GB"/>
        </w:rPr>
        <w:t xml:space="preserve">. </w:t>
      </w:r>
    </w:p>
    <w:p w14:paraId="475A4050" w14:textId="0BB8755F" w:rsidR="00425F89" w:rsidRPr="004F73C6" w:rsidRDefault="00425F89"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More could be done to build the identity of the programme (and hence build opportunities for c</w:t>
      </w:r>
      <w:r w:rsidR="009D0DE1" w:rsidRPr="004F73C6">
        <w:rPr>
          <w:rFonts w:ascii="Arial" w:eastAsia="Times New Roman" w:hAnsi="Arial" w:cs="Arial"/>
          <w:bCs/>
          <w:sz w:val="22"/>
          <w:lang w:val="en-GB"/>
        </w:rPr>
        <w:t xml:space="preserve">ross-regional learning) by establishing more frequent contact between programme managers outside the annual meeting, e.g. through a programme newsletter, or </w:t>
      </w:r>
      <w:r w:rsidR="00145A68" w:rsidRPr="004F73C6">
        <w:rPr>
          <w:rFonts w:ascii="Arial" w:eastAsia="Times New Roman" w:hAnsi="Arial" w:cs="Arial"/>
          <w:bCs/>
          <w:sz w:val="22"/>
          <w:lang w:val="en-GB"/>
        </w:rPr>
        <w:t xml:space="preserve">by convening working </w:t>
      </w:r>
      <w:r w:rsidR="00AD5C01" w:rsidRPr="004F73C6">
        <w:rPr>
          <w:rFonts w:ascii="Arial" w:eastAsia="Times New Roman" w:hAnsi="Arial" w:cs="Arial"/>
          <w:bCs/>
          <w:sz w:val="22"/>
          <w:lang w:val="en-GB"/>
        </w:rPr>
        <w:t xml:space="preserve">groups to tackle </w:t>
      </w:r>
      <w:r w:rsidR="00145A68" w:rsidRPr="004F73C6">
        <w:rPr>
          <w:rFonts w:ascii="Arial" w:eastAsia="Times New Roman" w:hAnsi="Arial" w:cs="Arial"/>
          <w:bCs/>
          <w:sz w:val="22"/>
          <w:lang w:val="en-GB"/>
        </w:rPr>
        <w:t xml:space="preserve">shared </w:t>
      </w:r>
      <w:r w:rsidR="00AD5C01" w:rsidRPr="004F73C6">
        <w:rPr>
          <w:rFonts w:ascii="Arial" w:eastAsia="Times New Roman" w:hAnsi="Arial" w:cs="Arial"/>
          <w:bCs/>
          <w:sz w:val="22"/>
          <w:lang w:val="en-GB"/>
        </w:rPr>
        <w:t>technica</w:t>
      </w:r>
      <w:bookmarkStart w:id="12" w:name="_GoBack"/>
      <w:bookmarkEnd w:id="12"/>
      <w:r w:rsidR="00AD5C01" w:rsidRPr="004F73C6">
        <w:rPr>
          <w:rFonts w:ascii="Arial" w:eastAsia="Times New Roman" w:hAnsi="Arial" w:cs="Arial"/>
          <w:bCs/>
          <w:sz w:val="22"/>
          <w:lang w:val="en-GB"/>
        </w:rPr>
        <w:t>l issues</w:t>
      </w:r>
      <w:r w:rsidR="00145A68" w:rsidRPr="004F73C6">
        <w:rPr>
          <w:rFonts w:ascii="Arial" w:eastAsia="Times New Roman" w:hAnsi="Arial" w:cs="Arial"/>
          <w:bCs/>
          <w:sz w:val="22"/>
          <w:lang w:val="en-GB"/>
        </w:rPr>
        <w:t xml:space="preserve"> such as </w:t>
      </w:r>
      <w:r w:rsidR="00AD5C01" w:rsidRPr="004F73C6">
        <w:rPr>
          <w:rFonts w:ascii="Arial" w:eastAsia="Times New Roman" w:hAnsi="Arial" w:cs="Arial"/>
          <w:bCs/>
          <w:sz w:val="22"/>
          <w:lang w:val="en-GB"/>
        </w:rPr>
        <w:t>assessing ‘age-friendliness’.</w:t>
      </w:r>
    </w:p>
    <w:p w14:paraId="05A62A56" w14:textId="7408CB55" w:rsidR="00AD5C01" w:rsidRPr="004F73C6" w:rsidRDefault="00165011"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 xml:space="preserve">There is a need to respond to acknowledge the administrative and communication challenges presented by the </w:t>
      </w:r>
      <w:r w:rsidR="00C65AA9" w:rsidRPr="004F73C6">
        <w:rPr>
          <w:rFonts w:ascii="Arial" w:eastAsia="Times New Roman" w:hAnsi="Arial" w:cs="Arial"/>
          <w:bCs/>
          <w:sz w:val="22"/>
          <w:lang w:val="en-GB"/>
        </w:rPr>
        <w:t xml:space="preserve">international dimension of the </w:t>
      </w:r>
      <w:r w:rsidR="00B0122A" w:rsidRPr="004F73C6">
        <w:rPr>
          <w:rFonts w:ascii="Arial" w:eastAsia="Times New Roman" w:hAnsi="Arial" w:cs="Arial"/>
          <w:bCs/>
          <w:sz w:val="22"/>
          <w:lang w:val="en-GB"/>
        </w:rPr>
        <w:t xml:space="preserve">AFFORD </w:t>
      </w:r>
      <w:r w:rsidRPr="004F73C6">
        <w:rPr>
          <w:rFonts w:ascii="Arial" w:eastAsia="Times New Roman" w:hAnsi="Arial" w:cs="Arial"/>
          <w:bCs/>
          <w:sz w:val="22"/>
          <w:lang w:val="en-GB"/>
        </w:rPr>
        <w:t xml:space="preserve">programme, </w:t>
      </w:r>
      <w:r w:rsidR="00617E53" w:rsidRPr="004F73C6">
        <w:rPr>
          <w:rFonts w:ascii="Arial" w:eastAsia="Times New Roman" w:hAnsi="Arial" w:cs="Arial"/>
          <w:bCs/>
          <w:sz w:val="22"/>
          <w:lang w:val="en-GB"/>
        </w:rPr>
        <w:t>through a greater effort</w:t>
      </w:r>
      <w:r w:rsidRPr="004F73C6">
        <w:rPr>
          <w:rFonts w:ascii="Arial" w:eastAsia="Times New Roman" w:hAnsi="Arial" w:cs="Arial"/>
          <w:bCs/>
          <w:sz w:val="22"/>
          <w:lang w:val="en-GB"/>
        </w:rPr>
        <w:t xml:space="preserve"> to </w:t>
      </w:r>
      <w:r w:rsidR="00996E8C" w:rsidRPr="004F73C6">
        <w:rPr>
          <w:rFonts w:ascii="Arial" w:eastAsia="Times New Roman" w:hAnsi="Arial" w:cs="Arial"/>
          <w:bCs/>
          <w:sz w:val="22"/>
          <w:lang w:val="en-GB"/>
        </w:rPr>
        <w:t xml:space="preserve">communicate </w:t>
      </w:r>
      <w:r w:rsidR="00617E53" w:rsidRPr="004F73C6">
        <w:rPr>
          <w:rFonts w:ascii="Arial" w:eastAsia="Times New Roman" w:hAnsi="Arial" w:cs="Arial"/>
          <w:bCs/>
          <w:sz w:val="22"/>
          <w:lang w:val="en-GB"/>
        </w:rPr>
        <w:t xml:space="preserve">clearly </w:t>
      </w:r>
      <w:r w:rsidR="00996E8C" w:rsidRPr="004F73C6">
        <w:rPr>
          <w:rFonts w:ascii="Arial" w:eastAsia="Times New Roman" w:hAnsi="Arial" w:cs="Arial"/>
          <w:bCs/>
          <w:sz w:val="22"/>
          <w:lang w:val="en-GB"/>
        </w:rPr>
        <w:t xml:space="preserve">the roles and responsibilities of different actors, and </w:t>
      </w:r>
      <w:r w:rsidR="00617E53" w:rsidRPr="004F73C6">
        <w:rPr>
          <w:rFonts w:ascii="Arial" w:eastAsia="Times New Roman" w:hAnsi="Arial" w:cs="Arial"/>
          <w:bCs/>
          <w:sz w:val="22"/>
          <w:lang w:val="en-GB"/>
        </w:rPr>
        <w:t xml:space="preserve">by </w:t>
      </w:r>
      <w:r w:rsidR="00996E8C" w:rsidRPr="004F73C6">
        <w:rPr>
          <w:rFonts w:ascii="Arial" w:eastAsia="Times New Roman" w:hAnsi="Arial" w:cs="Arial"/>
          <w:bCs/>
          <w:sz w:val="22"/>
          <w:lang w:val="en-GB"/>
        </w:rPr>
        <w:t>sharing protocols on reporting and budgeting processes.</w:t>
      </w:r>
    </w:p>
    <w:p w14:paraId="4B06C59D" w14:textId="0D2D3D16" w:rsidR="005366FD" w:rsidRPr="004F73C6" w:rsidRDefault="005366FD" w:rsidP="00793F4A">
      <w:pPr>
        <w:pStyle w:val="ListParagraph"/>
        <w:numPr>
          <w:ilvl w:val="0"/>
          <w:numId w:val="25"/>
        </w:numPr>
        <w:ind w:left="714" w:hanging="357"/>
        <w:contextualSpacing w:val="0"/>
        <w:jc w:val="both"/>
        <w:rPr>
          <w:rFonts w:ascii="Arial" w:eastAsia="Times New Roman" w:hAnsi="Arial" w:cs="Arial"/>
          <w:bCs/>
          <w:sz w:val="22"/>
          <w:lang w:val="en-GB"/>
        </w:rPr>
      </w:pPr>
      <w:r w:rsidRPr="004F73C6">
        <w:rPr>
          <w:rFonts w:ascii="Arial" w:eastAsia="Times New Roman" w:hAnsi="Arial" w:cs="Arial"/>
          <w:bCs/>
          <w:sz w:val="22"/>
          <w:lang w:val="en-GB"/>
        </w:rPr>
        <w:t xml:space="preserve">While the programme design </w:t>
      </w:r>
      <w:r w:rsidR="004824DE" w:rsidRPr="004F73C6">
        <w:rPr>
          <w:rFonts w:ascii="Arial" w:eastAsia="Times New Roman" w:hAnsi="Arial" w:cs="Arial"/>
          <w:bCs/>
          <w:sz w:val="22"/>
          <w:lang w:val="en-GB"/>
        </w:rPr>
        <w:t>is generally sustainable</w:t>
      </w:r>
      <w:r w:rsidRPr="004F73C6">
        <w:rPr>
          <w:rFonts w:ascii="Arial" w:eastAsia="Times New Roman" w:hAnsi="Arial" w:cs="Arial"/>
          <w:bCs/>
          <w:sz w:val="22"/>
          <w:lang w:val="en-GB"/>
        </w:rPr>
        <w:t xml:space="preserve">, it is important to develop strategies </w:t>
      </w:r>
      <w:r w:rsidR="004824DE" w:rsidRPr="004F73C6">
        <w:rPr>
          <w:rFonts w:ascii="Arial" w:eastAsia="Times New Roman" w:hAnsi="Arial" w:cs="Arial"/>
          <w:bCs/>
          <w:sz w:val="22"/>
          <w:lang w:val="en-GB"/>
        </w:rPr>
        <w:t>at country level to support exit which can best support exit or transition when the current programme ceases.</w:t>
      </w:r>
    </w:p>
    <w:sectPr w:rsidR="005366FD" w:rsidRPr="004F73C6" w:rsidSect="00A37C3C">
      <w:footerReference w:type="default" r:id="rId11"/>
      <w:pgSz w:w="12240" w:h="15840"/>
      <w:pgMar w:top="993"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EFBB2" w14:textId="77777777" w:rsidR="00434E30" w:rsidRDefault="00434E30" w:rsidP="00BD572C">
      <w:pPr>
        <w:spacing w:after="0"/>
      </w:pPr>
      <w:r>
        <w:separator/>
      </w:r>
    </w:p>
  </w:endnote>
  <w:endnote w:type="continuationSeparator" w:id="0">
    <w:p w14:paraId="3FF377A1" w14:textId="77777777" w:rsidR="00434E30" w:rsidRDefault="00434E30" w:rsidP="00BD5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xia">
    <w:altName w:val="Lex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882441"/>
      <w:docPartObj>
        <w:docPartGallery w:val="Page Numbers (Bottom of Page)"/>
        <w:docPartUnique/>
      </w:docPartObj>
    </w:sdtPr>
    <w:sdtEndPr>
      <w:rPr>
        <w:noProof/>
      </w:rPr>
    </w:sdtEndPr>
    <w:sdtContent>
      <w:p w14:paraId="50C2CCB2" w14:textId="433BC88E" w:rsidR="00C30693" w:rsidRDefault="00C30693">
        <w:pPr>
          <w:pStyle w:val="Footer"/>
          <w:jc w:val="right"/>
        </w:pPr>
        <w:r>
          <w:fldChar w:fldCharType="begin"/>
        </w:r>
        <w:r>
          <w:instrText xml:space="preserve"> PAGE   \* MERGEFORMAT </w:instrText>
        </w:r>
        <w:r>
          <w:fldChar w:fldCharType="separate"/>
        </w:r>
        <w:r w:rsidR="00C14FA2">
          <w:rPr>
            <w:noProof/>
          </w:rPr>
          <w:t>13</w:t>
        </w:r>
        <w:r>
          <w:rPr>
            <w:noProof/>
          </w:rPr>
          <w:fldChar w:fldCharType="end"/>
        </w:r>
      </w:p>
    </w:sdtContent>
  </w:sdt>
  <w:p w14:paraId="09DCCF41" w14:textId="77777777" w:rsidR="00C30693" w:rsidRDefault="00C30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0CAA6" w14:textId="77777777" w:rsidR="00434E30" w:rsidRDefault="00434E30" w:rsidP="00BD572C">
      <w:pPr>
        <w:spacing w:after="0"/>
      </w:pPr>
      <w:r>
        <w:separator/>
      </w:r>
    </w:p>
  </w:footnote>
  <w:footnote w:type="continuationSeparator" w:id="0">
    <w:p w14:paraId="7D5797A7" w14:textId="77777777" w:rsidR="00434E30" w:rsidRDefault="00434E30" w:rsidP="00BD572C">
      <w:pPr>
        <w:spacing w:after="0"/>
      </w:pPr>
      <w:r>
        <w:continuationSeparator/>
      </w:r>
    </w:p>
  </w:footnote>
  <w:footnote w:id="1">
    <w:p w14:paraId="434D3FDF" w14:textId="656821EA" w:rsidR="00C30693" w:rsidRPr="006701FA" w:rsidRDefault="00C30693">
      <w:pPr>
        <w:pStyle w:val="FootnoteText"/>
        <w:rPr>
          <w:lang w:val="en-GB"/>
        </w:rPr>
      </w:pPr>
      <w:r>
        <w:rPr>
          <w:rStyle w:val="FootnoteReference"/>
        </w:rPr>
        <w:footnoteRef/>
      </w:r>
      <w:r>
        <w:t xml:space="preserve"> Monitoring and Evidence Adviser - </w:t>
      </w:r>
      <w:r>
        <w:rPr>
          <w:lang w:val="en-GB"/>
        </w:rPr>
        <w:t xml:space="preserve">HelpAge International (London and Global) </w:t>
      </w:r>
    </w:p>
  </w:footnote>
  <w:footnote w:id="2">
    <w:p w14:paraId="2C436163" w14:textId="3BA6057F" w:rsidR="00C30693" w:rsidRPr="006701FA" w:rsidRDefault="00C30693">
      <w:pPr>
        <w:pStyle w:val="FootnoteText"/>
        <w:rPr>
          <w:lang w:val="en-GB"/>
        </w:rPr>
      </w:pPr>
      <w:r>
        <w:rPr>
          <w:rStyle w:val="FootnoteReference"/>
        </w:rPr>
        <w:footnoteRef/>
      </w:r>
      <w:r>
        <w:t xml:space="preserve"> </w:t>
      </w:r>
      <w:r w:rsidRPr="006D6FEA">
        <w:t>Monitoring and Accountability Co-</w:t>
      </w:r>
      <w:proofErr w:type="spellStart"/>
      <w:r w:rsidRPr="006D6FEA">
        <w:t>ordinator</w:t>
      </w:r>
      <w:proofErr w:type="spellEnd"/>
      <w:r w:rsidRPr="006D6FEA">
        <w:t xml:space="preserve"> (Mozambique)</w:t>
      </w:r>
      <w:r>
        <w:t xml:space="preserve"> </w:t>
      </w:r>
    </w:p>
  </w:footnote>
  <w:footnote w:id="3">
    <w:p w14:paraId="3DEFD089" w14:textId="2D27A816" w:rsidR="00C30693" w:rsidRPr="006701FA" w:rsidRDefault="00C30693">
      <w:pPr>
        <w:pStyle w:val="FootnoteText"/>
        <w:rPr>
          <w:lang w:val="en-GB"/>
        </w:rPr>
      </w:pPr>
      <w:r>
        <w:rPr>
          <w:rStyle w:val="FootnoteReference"/>
        </w:rPr>
        <w:footnoteRef/>
      </w:r>
      <w:r>
        <w:t xml:space="preserve"> </w:t>
      </w:r>
      <w:r w:rsidRPr="00906AD8">
        <w:rPr>
          <w:rFonts w:ascii="Corbel" w:hAnsi="Corbel"/>
        </w:rPr>
        <w:t>Regional Monitoring Evidence and Learning Adviser – (EWCA/SAO)</w:t>
      </w:r>
      <w:r>
        <w:rPr>
          <w:rFonts w:ascii="Corbel" w:hAnsi="Corbel"/>
        </w:rPr>
        <w:t xml:space="preserve"> </w:t>
      </w:r>
    </w:p>
  </w:footnote>
  <w:footnote w:id="4">
    <w:p w14:paraId="2038C3C1" w14:textId="59C04E86" w:rsidR="00C30693" w:rsidRPr="006701FA" w:rsidRDefault="00C30693">
      <w:pPr>
        <w:pStyle w:val="FootnoteText"/>
        <w:rPr>
          <w:lang w:val="en-GB"/>
        </w:rPr>
      </w:pPr>
      <w:r>
        <w:rPr>
          <w:rStyle w:val="FootnoteReference"/>
        </w:rPr>
        <w:footnoteRef/>
      </w:r>
      <w:r>
        <w:t xml:space="preserve"> </w:t>
      </w:r>
      <w:proofErr w:type="spellStart"/>
      <w:r w:rsidRPr="00906AD8">
        <w:rPr>
          <w:rFonts w:ascii="Corbel" w:hAnsi="Corbel"/>
        </w:rPr>
        <w:t>Programme</w:t>
      </w:r>
      <w:proofErr w:type="spellEnd"/>
      <w:r w:rsidRPr="00906AD8">
        <w:rPr>
          <w:rFonts w:ascii="Corbel" w:hAnsi="Corbel"/>
        </w:rPr>
        <w:t xml:space="preserve"> Manager –</w:t>
      </w:r>
      <w:r>
        <w:rPr>
          <w:rFonts w:ascii="Corbel" w:hAnsi="Corbel"/>
        </w:rPr>
        <w:t xml:space="preserve"> (</w:t>
      </w:r>
      <w:r w:rsidRPr="00C30693">
        <w:rPr>
          <w:rFonts w:ascii="Corbel" w:hAnsi="Corbel"/>
          <w:i/>
        </w:rPr>
        <w:t>Tanzania</w:t>
      </w:r>
      <w:r>
        <w:rPr>
          <w:rFonts w:ascii="Corbel" w:hAnsi="Corbel"/>
        </w:rPr>
        <w:t>)</w:t>
      </w:r>
    </w:p>
  </w:footnote>
  <w:footnote w:id="5">
    <w:p w14:paraId="4F55BAB4" w14:textId="27F797B6" w:rsidR="00C30693" w:rsidRPr="004E52A3" w:rsidRDefault="00C30693">
      <w:pPr>
        <w:pStyle w:val="FootnoteText"/>
        <w:rPr>
          <w:lang w:val="en-GB"/>
        </w:rPr>
      </w:pPr>
      <w:r>
        <w:rPr>
          <w:rStyle w:val="FootnoteReference"/>
        </w:rPr>
        <w:footnoteRef/>
      </w:r>
      <w:r>
        <w:t xml:space="preserve"> Interim Country Director (Uganda)</w:t>
      </w:r>
    </w:p>
  </w:footnote>
  <w:footnote w:id="6">
    <w:p w14:paraId="4236BB10" w14:textId="558657BC" w:rsidR="00C30693" w:rsidRPr="004E52A3" w:rsidRDefault="00C30693">
      <w:pPr>
        <w:pStyle w:val="FootnoteText"/>
        <w:rPr>
          <w:lang w:val="en-GB"/>
        </w:rPr>
      </w:pPr>
      <w:r>
        <w:rPr>
          <w:rStyle w:val="FootnoteReference"/>
        </w:rPr>
        <w:footnoteRef/>
      </w:r>
      <w:r>
        <w:t xml:space="preserve"> </w:t>
      </w:r>
      <w:r w:rsidRPr="006701FA">
        <w:rPr>
          <w:rFonts w:ascii="Corbel" w:hAnsi="Corbel"/>
        </w:rPr>
        <w:t xml:space="preserve">Social Protection and Livelihoods </w:t>
      </w:r>
      <w:r>
        <w:rPr>
          <w:rFonts w:ascii="Corbel" w:hAnsi="Corbel"/>
        </w:rPr>
        <w:t>Co-</w:t>
      </w:r>
      <w:proofErr w:type="spellStart"/>
      <w:r>
        <w:rPr>
          <w:rFonts w:ascii="Corbel" w:hAnsi="Corbel"/>
        </w:rPr>
        <w:t>ordinator</w:t>
      </w:r>
      <w:proofErr w:type="spellEnd"/>
    </w:p>
  </w:footnote>
  <w:footnote w:id="7">
    <w:p w14:paraId="0D54CC43" w14:textId="77777777" w:rsidR="00C30693" w:rsidRPr="00CA07FB" w:rsidRDefault="00C30693" w:rsidP="009008BB">
      <w:pPr>
        <w:pStyle w:val="FootnoteText"/>
        <w:rPr>
          <w:lang w:val="en-GB"/>
        </w:rPr>
      </w:pPr>
      <w:r>
        <w:rPr>
          <w:rStyle w:val="FootnoteReference"/>
        </w:rPr>
        <w:footnoteRef/>
      </w:r>
      <w:r>
        <w:t xml:space="preserve"> ‘</w:t>
      </w:r>
      <w:r>
        <w:rPr>
          <w:lang w:val="en-GB"/>
        </w:rPr>
        <w:sym w:font="Wingdings" w:char="F0FC"/>
      </w:r>
      <w:r>
        <w:rPr>
          <w:lang w:val="en-GB"/>
        </w:rPr>
        <w:t>’ : evidence of good progress;  ‘</w:t>
      </w:r>
      <w:r>
        <w:rPr>
          <w:lang w:val="en-GB"/>
        </w:rPr>
        <w:sym w:font="Wingdings" w:char="F0FB"/>
      </w:r>
      <w:r>
        <w:rPr>
          <w:lang w:val="en-GB"/>
        </w:rPr>
        <w:t>’:  evidence of poor progress;  ‘-‘:  issues to consider;  ‘R’: recommendation</w:t>
      </w:r>
    </w:p>
  </w:footnote>
  <w:footnote w:id="8">
    <w:p w14:paraId="396F3B37" w14:textId="0E07F591" w:rsidR="00C30693" w:rsidRPr="008D0B80" w:rsidRDefault="00C30693">
      <w:pPr>
        <w:pStyle w:val="FootnoteText"/>
        <w:rPr>
          <w:lang w:val="en-GB"/>
        </w:rPr>
      </w:pPr>
      <w:r>
        <w:rPr>
          <w:rStyle w:val="FootnoteReference"/>
        </w:rPr>
        <w:footnoteRef/>
      </w:r>
      <w:r>
        <w:t xml:space="preserve"> </w:t>
      </w:r>
      <w:r>
        <w:rPr>
          <w:lang w:val="en-GB"/>
        </w:rPr>
        <w:t>The AFFORD programme in South Africa prioritises work on access to health and HIV and is not tracking national-level results on social protection.</w:t>
      </w:r>
    </w:p>
  </w:footnote>
  <w:footnote w:id="9">
    <w:p w14:paraId="4638CD55" w14:textId="22DF8B49" w:rsidR="00C30693" w:rsidRPr="00353A18" w:rsidRDefault="00C30693" w:rsidP="00A16387">
      <w:pPr>
        <w:pStyle w:val="FootnoteText"/>
        <w:rPr>
          <w:lang w:val="en-GB"/>
        </w:rPr>
      </w:pPr>
      <w:r>
        <w:rPr>
          <w:rStyle w:val="FootnoteReference"/>
        </w:rPr>
        <w:footnoteRef/>
      </w:r>
      <w:r>
        <w:t xml:space="preserve"> Mozambique Monitoring Visit Report (Draft), Irish Aid June 2014</w:t>
      </w:r>
    </w:p>
  </w:footnote>
  <w:footnote w:id="10">
    <w:p w14:paraId="6C1CD01B" w14:textId="0FE8F528" w:rsidR="00C30693" w:rsidRPr="009D2741" w:rsidRDefault="00C30693">
      <w:pPr>
        <w:pStyle w:val="FootnoteText"/>
        <w:rPr>
          <w:lang w:val="en-GB"/>
        </w:rPr>
      </w:pPr>
      <w:r>
        <w:rPr>
          <w:rStyle w:val="FootnoteReference"/>
        </w:rPr>
        <w:footnoteRef/>
      </w:r>
      <w:r>
        <w:t xml:space="preserve"> </w:t>
      </w:r>
      <w:r>
        <w:rPr>
          <w:lang w:val="en-GB"/>
        </w:rPr>
        <w:t>Older People’s Monitoring Groups</w:t>
      </w:r>
    </w:p>
  </w:footnote>
  <w:footnote w:id="11">
    <w:p w14:paraId="04509FC9" w14:textId="4723A46E" w:rsidR="00C30693" w:rsidRPr="001E67D8" w:rsidRDefault="00C30693" w:rsidP="00754338">
      <w:pPr>
        <w:autoSpaceDE w:val="0"/>
        <w:autoSpaceDN w:val="0"/>
        <w:adjustRightInd w:val="0"/>
        <w:spacing w:after="0"/>
        <w:rPr>
          <w:rFonts w:ascii="Arial" w:eastAsia="Times New Roman" w:hAnsi="Arial" w:cs="Arial"/>
          <w:bCs/>
          <w:sz w:val="22"/>
        </w:rPr>
      </w:pPr>
      <w:r>
        <w:rPr>
          <w:rStyle w:val="FootnoteReference"/>
        </w:rPr>
        <w:footnoteRef/>
      </w:r>
      <w:r>
        <w:t xml:space="preserve"> </w:t>
      </w:r>
      <w:r w:rsidRPr="00754338">
        <w:rPr>
          <w:szCs w:val="20"/>
          <w:lang w:val="en-GB"/>
        </w:rPr>
        <w:t>The OECD defines results-based management as ‘A management strategy focusing on performance and achievement of outputs, outcomes and impacts’ OECD (2010), ‘</w:t>
      </w:r>
      <w:r>
        <w:rPr>
          <w:rFonts w:ascii="Calibri" w:hAnsi="Calibri" w:cs="Calibri"/>
          <w:szCs w:val="20"/>
          <w:lang w:val="en-GB"/>
        </w:rPr>
        <w:t>Glossary of Evaluation and Results Based Management (RBM) Terms’, p.34</w:t>
      </w:r>
    </w:p>
    <w:p w14:paraId="733B5594" w14:textId="7397D8AB" w:rsidR="00C30693" w:rsidRPr="00A01C0E" w:rsidRDefault="00C30693">
      <w:pPr>
        <w:pStyle w:val="FootnoteText"/>
        <w:rPr>
          <w:lang w:val="en-GB"/>
        </w:rPr>
      </w:pPr>
      <w:r>
        <w:rPr>
          <w:rFonts w:ascii="Arial" w:eastAsia="Times New Roman" w:hAnsi="Arial" w:cs="Arial"/>
          <w:bCs/>
          <w:sz w:val="22"/>
        </w:rPr>
        <w:t xml:space="preserve">- </w:t>
      </w:r>
    </w:p>
  </w:footnote>
  <w:footnote w:id="12">
    <w:p w14:paraId="62B0265C" w14:textId="2AFDBB9F" w:rsidR="00C30693" w:rsidRPr="008B2A27" w:rsidRDefault="00C30693" w:rsidP="003C2E5A">
      <w:pPr>
        <w:pStyle w:val="FootnoteText"/>
        <w:rPr>
          <w:lang w:val="en-GB"/>
        </w:rPr>
      </w:pPr>
      <w:r>
        <w:rPr>
          <w:rStyle w:val="FootnoteReference"/>
        </w:rPr>
        <w:footnoteRef/>
      </w:r>
      <w:r>
        <w:t xml:space="preserve"> Communication between Irish</w:t>
      </w:r>
      <w:r w:rsidR="0026135A">
        <w:t xml:space="preserve"> </w:t>
      </w:r>
      <w:r>
        <w:t>Aid and HelpAge on the results framework (RF) has been substantive. HelpAge submitted the updated Africa RF containing 2013 results in February 2014. Irish Aid responded with detailed queries in March and HelpAge sent a revised version in May. Further queries were sent by Irish Aid in June.</w:t>
      </w:r>
    </w:p>
  </w:footnote>
  <w:footnote w:id="13">
    <w:p w14:paraId="1ABC70D0" w14:textId="77777777" w:rsidR="00C30693" w:rsidRPr="004D7012" w:rsidRDefault="00C30693" w:rsidP="003C2E5A">
      <w:pPr>
        <w:pStyle w:val="FootnoteText"/>
        <w:rPr>
          <w:lang w:val="en-GB"/>
        </w:rPr>
      </w:pPr>
      <w:r>
        <w:rPr>
          <w:rStyle w:val="FootnoteReference"/>
        </w:rPr>
        <w:footnoteRef/>
      </w:r>
      <w:r>
        <w:t xml:space="preserve"> </w:t>
      </w:r>
      <w:proofErr w:type="gramStart"/>
      <w:r>
        <w:rPr>
          <w:lang w:val="en-GB"/>
        </w:rPr>
        <w:t>this</w:t>
      </w:r>
      <w:proofErr w:type="gramEnd"/>
      <w:r>
        <w:rPr>
          <w:lang w:val="en-GB"/>
        </w:rPr>
        <w:t xml:space="preserve"> sheet is currently labelled ‘dashboard’, despite focusing on the vertical logic and methods of data collection rather than providing a summary of results/performance achieved.</w:t>
      </w:r>
    </w:p>
  </w:footnote>
  <w:footnote w:id="14">
    <w:p w14:paraId="00C15B2B" w14:textId="3FDC4208" w:rsidR="00C30693" w:rsidRPr="009E32E5" w:rsidRDefault="00C30693">
      <w:pPr>
        <w:pStyle w:val="FootnoteText"/>
        <w:rPr>
          <w:lang w:val="en-GB"/>
        </w:rPr>
      </w:pPr>
      <w:r>
        <w:rPr>
          <w:rStyle w:val="FootnoteReference"/>
        </w:rPr>
        <w:footnoteRef/>
      </w:r>
      <w:r>
        <w:t xml:space="preserve"> </w:t>
      </w:r>
      <w:r>
        <w:rPr>
          <w:lang w:val="en-GB"/>
        </w:rPr>
        <w:t>This focuses on top-line recommendations at global level. See individual reports for country-level recommendations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C6F"/>
    <w:multiLevelType w:val="hybridMultilevel"/>
    <w:tmpl w:val="5A38936A"/>
    <w:lvl w:ilvl="0" w:tplc="8F7296AC">
      <w:start w:val="1"/>
      <w:numFmt w:val="bullet"/>
      <w:lvlText w:val="R"/>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46E7A"/>
    <w:multiLevelType w:val="hybridMultilevel"/>
    <w:tmpl w:val="F490FC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BF534B"/>
    <w:multiLevelType w:val="hybridMultilevel"/>
    <w:tmpl w:val="46A472B2"/>
    <w:lvl w:ilvl="0" w:tplc="924C03FE">
      <w:start w:val="1"/>
      <w:numFmt w:val="bullet"/>
      <w:lvlText w:val="•"/>
      <w:lvlJc w:val="left"/>
      <w:pPr>
        <w:tabs>
          <w:tab w:val="num" w:pos="720"/>
        </w:tabs>
        <w:ind w:left="720" w:hanging="360"/>
      </w:pPr>
      <w:rPr>
        <w:rFonts w:ascii="Times" w:hAnsi="Times" w:hint="default"/>
      </w:rPr>
    </w:lvl>
    <w:lvl w:ilvl="1" w:tplc="8A88E422" w:tentative="1">
      <w:start w:val="1"/>
      <w:numFmt w:val="bullet"/>
      <w:lvlText w:val="•"/>
      <w:lvlJc w:val="left"/>
      <w:pPr>
        <w:tabs>
          <w:tab w:val="num" w:pos="1440"/>
        </w:tabs>
        <w:ind w:left="1440" w:hanging="360"/>
      </w:pPr>
      <w:rPr>
        <w:rFonts w:ascii="Times" w:hAnsi="Times" w:hint="default"/>
      </w:rPr>
    </w:lvl>
    <w:lvl w:ilvl="2" w:tplc="A11C1AD4" w:tentative="1">
      <w:start w:val="1"/>
      <w:numFmt w:val="bullet"/>
      <w:lvlText w:val="•"/>
      <w:lvlJc w:val="left"/>
      <w:pPr>
        <w:tabs>
          <w:tab w:val="num" w:pos="2160"/>
        </w:tabs>
        <w:ind w:left="2160" w:hanging="360"/>
      </w:pPr>
      <w:rPr>
        <w:rFonts w:ascii="Times" w:hAnsi="Times" w:hint="default"/>
      </w:rPr>
    </w:lvl>
    <w:lvl w:ilvl="3" w:tplc="7C4611EC" w:tentative="1">
      <w:start w:val="1"/>
      <w:numFmt w:val="bullet"/>
      <w:lvlText w:val="•"/>
      <w:lvlJc w:val="left"/>
      <w:pPr>
        <w:tabs>
          <w:tab w:val="num" w:pos="2880"/>
        </w:tabs>
        <w:ind w:left="2880" w:hanging="360"/>
      </w:pPr>
      <w:rPr>
        <w:rFonts w:ascii="Times" w:hAnsi="Times" w:hint="default"/>
      </w:rPr>
    </w:lvl>
    <w:lvl w:ilvl="4" w:tplc="E39EDF80" w:tentative="1">
      <w:start w:val="1"/>
      <w:numFmt w:val="bullet"/>
      <w:lvlText w:val="•"/>
      <w:lvlJc w:val="left"/>
      <w:pPr>
        <w:tabs>
          <w:tab w:val="num" w:pos="3600"/>
        </w:tabs>
        <w:ind w:left="3600" w:hanging="360"/>
      </w:pPr>
      <w:rPr>
        <w:rFonts w:ascii="Times" w:hAnsi="Times" w:hint="default"/>
      </w:rPr>
    </w:lvl>
    <w:lvl w:ilvl="5" w:tplc="D04C6FCE" w:tentative="1">
      <w:start w:val="1"/>
      <w:numFmt w:val="bullet"/>
      <w:lvlText w:val="•"/>
      <w:lvlJc w:val="left"/>
      <w:pPr>
        <w:tabs>
          <w:tab w:val="num" w:pos="4320"/>
        </w:tabs>
        <w:ind w:left="4320" w:hanging="360"/>
      </w:pPr>
      <w:rPr>
        <w:rFonts w:ascii="Times" w:hAnsi="Times" w:hint="default"/>
      </w:rPr>
    </w:lvl>
    <w:lvl w:ilvl="6" w:tplc="8C3A1CA8" w:tentative="1">
      <w:start w:val="1"/>
      <w:numFmt w:val="bullet"/>
      <w:lvlText w:val="•"/>
      <w:lvlJc w:val="left"/>
      <w:pPr>
        <w:tabs>
          <w:tab w:val="num" w:pos="5040"/>
        </w:tabs>
        <w:ind w:left="5040" w:hanging="360"/>
      </w:pPr>
      <w:rPr>
        <w:rFonts w:ascii="Times" w:hAnsi="Times" w:hint="default"/>
      </w:rPr>
    </w:lvl>
    <w:lvl w:ilvl="7" w:tplc="DA0C8AEE" w:tentative="1">
      <w:start w:val="1"/>
      <w:numFmt w:val="bullet"/>
      <w:lvlText w:val="•"/>
      <w:lvlJc w:val="left"/>
      <w:pPr>
        <w:tabs>
          <w:tab w:val="num" w:pos="5760"/>
        </w:tabs>
        <w:ind w:left="5760" w:hanging="360"/>
      </w:pPr>
      <w:rPr>
        <w:rFonts w:ascii="Times" w:hAnsi="Times" w:hint="default"/>
      </w:rPr>
    </w:lvl>
    <w:lvl w:ilvl="8" w:tplc="739A7140" w:tentative="1">
      <w:start w:val="1"/>
      <w:numFmt w:val="bullet"/>
      <w:lvlText w:val="•"/>
      <w:lvlJc w:val="left"/>
      <w:pPr>
        <w:tabs>
          <w:tab w:val="num" w:pos="6480"/>
        </w:tabs>
        <w:ind w:left="6480" w:hanging="360"/>
      </w:pPr>
      <w:rPr>
        <w:rFonts w:ascii="Times" w:hAnsi="Times" w:hint="default"/>
      </w:rPr>
    </w:lvl>
  </w:abstractNum>
  <w:abstractNum w:abstractNumId="3">
    <w:nsid w:val="04C641A9"/>
    <w:multiLevelType w:val="hybridMultilevel"/>
    <w:tmpl w:val="68061A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D07008"/>
    <w:multiLevelType w:val="hybridMultilevel"/>
    <w:tmpl w:val="62DCF7EA"/>
    <w:lvl w:ilvl="0" w:tplc="A85697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F43084"/>
    <w:multiLevelType w:val="hybridMultilevel"/>
    <w:tmpl w:val="E8B28BB0"/>
    <w:lvl w:ilvl="0" w:tplc="8F7296AC">
      <w:start w:val="1"/>
      <w:numFmt w:val="bullet"/>
      <w:lvlText w:val="R"/>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BD310C"/>
    <w:multiLevelType w:val="hybridMultilevel"/>
    <w:tmpl w:val="BD3E73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BB82896"/>
    <w:multiLevelType w:val="multilevel"/>
    <w:tmpl w:val="4E7C7AA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nsid w:val="1F293248"/>
    <w:multiLevelType w:val="hybridMultilevel"/>
    <w:tmpl w:val="DF2C29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04703C"/>
    <w:multiLevelType w:val="hybridMultilevel"/>
    <w:tmpl w:val="F98ADDBA"/>
    <w:lvl w:ilvl="0" w:tplc="8F7296AC">
      <w:start w:val="1"/>
      <w:numFmt w:val="bullet"/>
      <w:lvlText w:val="R"/>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A24ED"/>
    <w:multiLevelType w:val="hybridMultilevel"/>
    <w:tmpl w:val="88EE8A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027EF9"/>
    <w:multiLevelType w:val="hybridMultilevel"/>
    <w:tmpl w:val="C0167F80"/>
    <w:lvl w:ilvl="0" w:tplc="DE062D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FF5522"/>
    <w:multiLevelType w:val="hybridMultilevel"/>
    <w:tmpl w:val="8B86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E2857DE"/>
    <w:multiLevelType w:val="hybridMultilevel"/>
    <w:tmpl w:val="60F28FDE"/>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4">
    <w:nsid w:val="3E7C4A1C"/>
    <w:multiLevelType w:val="multilevel"/>
    <w:tmpl w:val="0FB62FC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4B472260"/>
    <w:multiLevelType w:val="hybridMultilevel"/>
    <w:tmpl w:val="B3A68D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9022B6"/>
    <w:multiLevelType w:val="hybridMultilevel"/>
    <w:tmpl w:val="42E6EF94"/>
    <w:lvl w:ilvl="0" w:tplc="DE062D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156665"/>
    <w:multiLevelType w:val="hybridMultilevel"/>
    <w:tmpl w:val="918E85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C601F5"/>
    <w:multiLevelType w:val="hybridMultilevel"/>
    <w:tmpl w:val="55D68766"/>
    <w:lvl w:ilvl="0" w:tplc="8F7296AC">
      <w:start w:val="1"/>
      <w:numFmt w:val="bullet"/>
      <w:lvlText w:val="R"/>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AA6E54"/>
    <w:multiLevelType w:val="hybridMultilevel"/>
    <w:tmpl w:val="C29C8C80"/>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767C79"/>
    <w:multiLevelType w:val="hybridMultilevel"/>
    <w:tmpl w:val="0D3632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31001F"/>
    <w:multiLevelType w:val="hybridMultilevel"/>
    <w:tmpl w:val="F82676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E26E10"/>
    <w:multiLevelType w:val="hybridMultilevel"/>
    <w:tmpl w:val="6FB4B8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C551C9"/>
    <w:multiLevelType w:val="hybridMultilevel"/>
    <w:tmpl w:val="9BA8F58A"/>
    <w:lvl w:ilvl="0" w:tplc="8F7296AC">
      <w:start w:val="1"/>
      <w:numFmt w:val="bullet"/>
      <w:lvlText w:val="R"/>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F67F62"/>
    <w:multiLevelType w:val="hybridMultilevel"/>
    <w:tmpl w:val="01FA2D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4"/>
  </w:num>
  <w:num w:numId="4">
    <w:abstractNumId w:val="12"/>
  </w:num>
  <w:num w:numId="5">
    <w:abstractNumId w:val="6"/>
  </w:num>
  <w:num w:numId="6">
    <w:abstractNumId w:val="2"/>
  </w:num>
  <w:num w:numId="7">
    <w:abstractNumId w:val="16"/>
  </w:num>
  <w:num w:numId="8">
    <w:abstractNumId w:val="8"/>
  </w:num>
  <w:num w:numId="9">
    <w:abstractNumId w:val="11"/>
  </w:num>
  <w:num w:numId="10">
    <w:abstractNumId w:val="22"/>
  </w:num>
  <w:num w:numId="11">
    <w:abstractNumId w:val="18"/>
  </w:num>
  <w:num w:numId="12">
    <w:abstractNumId w:val="17"/>
  </w:num>
  <w:num w:numId="13">
    <w:abstractNumId w:val="21"/>
  </w:num>
  <w:num w:numId="14">
    <w:abstractNumId w:val="1"/>
  </w:num>
  <w:num w:numId="15">
    <w:abstractNumId w:val="15"/>
  </w:num>
  <w:num w:numId="16">
    <w:abstractNumId w:val="0"/>
  </w:num>
  <w:num w:numId="17">
    <w:abstractNumId w:val="5"/>
  </w:num>
  <w:num w:numId="18">
    <w:abstractNumId w:val="23"/>
  </w:num>
  <w:num w:numId="19">
    <w:abstractNumId w:val="4"/>
  </w:num>
  <w:num w:numId="20">
    <w:abstractNumId w:val="3"/>
  </w:num>
  <w:num w:numId="21">
    <w:abstractNumId w:val="20"/>
  </w:num>
  <w:num w:numId="22">
    <w:abstractNumId w:val="24"/>
  </w:num>
  <w:num w:numId="23">
    <w:abstractNumId w:val="9"/>
  </w:num>
  <w:num w:numId="24">
    <w:abstractNumId w:val="10"/>
  </w:num>
  <w:num w:numId="2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AD"/>
    <w:rsid w:val="0000107F"/>
    <w:rsid w:val="00001C70"/>
    <w:rsid w:val="0000216B"/>
    <w:rsid w:val="000031E9"/>
    <w:rsid w:val="00004C69"/>
    <w:rsid w:val="00005788"/>
    <w:rsid w:val="00006D19"/>
    <w:rsid w:val="000078A1"/>
    <w:rsid w:val="000106D8"/>
    <w:rsid w:val="00013CB1"/>
    <w:rsid w:val="000151BE"/>
    <w:rsid w:val="000165A4"/>
    <w:rsid w:val="00016C9B"/>
    <w:rsid w:val="000173C5"/>
    <w:rsid w:val="00017406"/>
    <w:rsid w:val="00020926"/>
    <w:rsid w:val="00021181"/>
    <w:rsid w:val="000213E5"/>
    <w:rsid w:val="0002164C"/>
    <w:rsid w:val="000219EC"/>
    <w:rsid w:val="00022014"/>
    <w:rsid w:val="000222FB"/>
    <w:rsid w:val="00023645"/>
    <w:rsid w:val="00023A03"/>
    <w:rsid w:val="00025290"/>
    <w:rsid w:val="00025CE3"/>
    <w:rsid w:val="00026905"/>
    <w:rsid w:val="000304BC"/>
    <w:rsid w:val="000316A8"/>
    <w:rsid w:val="0003243D"/>
    <w:rsid w:val="00032FE1"/>
    <w:rsid w:val="00034DCA"/>
    <w:rsid w:val="00036AD9"/>
    <w:rsid w:val="0003776F"/>
    <w:rsid w:val="00037F86"/>
    <w:rsid w:val="0004113A"/>
    <w:rsid w:val="000419DE"/>
    <w:rsid w:val="00043F6A"/>
    <w:rsid w:val="00044E58"/>
    <w:rsid w:val="00045A4D"/>
    <w:rsid w:val="00050219"/>
    <w:rsid w:val="00050CBF"/>
    <w:rsid w:val="00052FEC"/>
    <w:rsid w:val="00053569"/>
    <w:rsid w:val="00053E72"/>
    <w:rsid w:val="000546DD"/>
    <w:rsid w:val="00054C5E"/>
    <w:rsid w:val="00054F60"/>
    <w:rsid w:val="0005568B"/>
    <w:rsid w:val="000556BD"/>
    <w:rsid w:val="00056922"/>
    <w:rsid w:val="00057118"/>
    <w:rsid w:val="00057256"/>
    <w:rsid w:val="00057374"/>
    <w:rsid w:val="00057B5F"/>
    <w:rsid w:val="00060BF7"/>
    <w:rsid w:val="00061656"/>
    <w:rsid w:val="0006261E"/>
    <w:rsid w:val="0006307C"/>
    <w:rsid w:val="00063844"/>
    <w:rsid w:val="00064C72"/>
    <w:rsid w:val="00066074"/>
    <w:rsid w:val="0006676D"/>
    <w:rsid w:val="00066F16"/>
    <w:rsid w:val="00070483"/>
    <w:rsid w:val="00070E30"/>
    <w:rsid w:val="0007440B"/>
    <w:rsid w:val="000746F2"/>
    <w:rsid w:val="000749BE"/>
    <w:rsid w:val="00075608"/>
    <w:rsid w:val="00075B2B"/>
    <w:rsid w:val="00075CC9"/>
    <w:rsid w:val="000760E3"/>
    <w:rsid w:val="000771A0"/>
    <w:rsid w:val="00077D33"/>
    <w:rsid w:val="000806A1"/>
    <w:rsid w:val="00082305"/>
    <w:rsid w:val="00082B54"/>
    <w:rsid w:val="00082C85"/>
    <w:rsid w:val="00082CC3"/>
    <w:rsid w:val="00085E2D"/>
    <w:rsid w:val="00085EFD"/>
    <w:rsid w:val="00086CE5"/>
    <w:rsid w:val="00086E96"/>
    <w:rsid w:val="0009044F"/>
    <w:rsid w:val="00090BB3"/>
    <w:rsid w:val="000929EC"/>
    <w:rsid w:val="00092B0D"/>
    <w:rsid w:val="00094B35"/>
    <w:rsid w:val="00094C5B"/>
    <w:rsid w:val="00095B40"/>
    <w:rsid w:val="00096470"/>
    <w:rsid w:val="00096B8F"/>
    <w:rsid w:val="00097A93"/>
    <w:rsid w:val="000A0B5E"/>
    <w:rsid w:val="000A0BB9"/>
    <w:rsid w:val="000A16BD"/>
    <w:rsid w:val="000A2082"/>
    <w:rsid w:val="000A253D"/>
    <w:rsid w:val="000A2B5A"/>
    <w:rsid w:val="000A34EC"/>
    <w:rsid w:val="000A3639"/>
    <w:rsid w:val="000A3803"/>
    <w:rsid w:val="000A4D53"/>
    <w:rsid w:val="000A5EBC"/>
    <w:rsid w:val="000A632C"/>
    <w:rsid w:val="000A66E3"/>
    <w:rsid w:val="000A6A29"/>
    <w:rsid w:val="000A7425"/>
    <w:rsid w:val="000A7648"/>
    <w:rsid w:val="000A7CA2"/>
    <w:rsid w:val="000B1FF3"/>
    <w:rsid w:val="000B219E"/>
    <w:rsid w:val="000B2AA7"/>
    <w:rsid w:val="000B3E65"/>
    <w:rsid w:val="000B4395"/>
    <w:rsid w:val="000B50F4"/>
    <w:rsid w:val="000B6B8D"/>
    <w:rsid w:val="000B7422"/>
    <w:rsid w:val="000B7657"/>
    <w:rsid w:val="000B768B"/>
    <w:rsid w:val="000B7CF0"/>
    <w:rsid w:val="000C035F"/>
    <w:rsid w:val="000C05FC"/>
    <w:rsid w:val="000C0EED"/>
    <w:rsid w:val="000C0F8A"/>
    <w:rsid w:val="000C2654"/>
    <w:rsid w:val="000C2F19"/>
    <w:rsid w:val="000C2F8D"/>
    <w:rsid w:val="000C3268"/>
    <w:rsid w:val="000C3A40"/>
    <w:rsid w:val="000C48AA"/>
    <w:rsid w:val="000C50E1"/>
    <w:rsid w:val="000C6492"/>
    <w:rsid w:val="000C6D0E"/>
    <w:rsid w:val="000C6D40"/>
    <w:rsid w:val="000C7B2B"/>
    <w:rsid w:val="000C7EB2"/>
    <w:rsid w:val="000D002E"/>
    <w:rsid w:val="000D1C44"/>
    <w:rsid w:val="000D27B2"/>
    <w:rsid w:val="000D3785"/>
    <w:rsid w:val="000D3A60"/>
    <w:rsid w:val="000D408D"/>
    <w:rsid w:val="000D4ABD"/>
    <w:rsid w:val="000D52FC"/>
    <w:rsid w:val="000D5517"/>
    <w:rsid w:val="000D57DE"/>
    <w:rsid w:val="000D7848"/>
    <w:rsid w:val="000E06DB"/>
    <w:rsid w:val="000E10A0"/>
    <w:rsid w:val="000E1C4C"/>
    <w:rsid w:val="000E38CC"/>
    <w:rsid w:val="000E5502"/>
    <w:rsid w:val="000E5C3E"/>
    <w:rsid w:val="000E5F37"/>
    <w:rsid w:val="000E6660"/>
    <w:rsid w:val="000E72C1"/>
    <w:rsid w:val="000F0085"/>
    <w:rsid w:val="000F1A99"/>
    <w:rsid w:val="000F1B14"/>
    <w:rsid w:val="000F20BB"/>
    <w:rsid w:val="000F21D7"/>
    <w:rsid w:val="000F22A9"/>
    <w:rsid w:val="000F35DF"/>
    <w:rsid w:val="000F3746"/>
    <w:rsid w:val="000F442C"/>
    <w:rsid w:val="000F4A2A"/>
    <w:rsid w:val="000F4B65"/>
    <w:rsid w:val="000F542E"/>
    <w:rsid w:val="000F5B86"/>
    <w:rsid w:val="000F75A2"/>
    <w:rsid w:val="00100E46"/>
    <w:rsid w:val="00101EB6"/>
    <w:rsid w:val="0010234A"/>
    <w:rsid w:val="00103EBF"/>
    <w:rsid w:val="00104E0C"/>
    <w:rsid w:val="00105904"/>
    <w:rsid w:val="001072D3"/>
    <w:rsid w:val="001113BD"/>
    <w:rsid w:val="001131AF"/>
    <w:rsid w:val="00113767"/>
    <w:rsid w:val="0011489B"/>
    <w:rsid w:val="00115565"/>
    <w:rsid w:val="00115B75"/>
    <w:rsid w:val="00116D34"/>
    <w:rsid w:val="00117597"/>
    <w:rsid w:val="0011780D"/>
    <w:rsid w:val="00120996"/>
    <w:rsid w:val="00120B16"/>
    <w:rsid w:val="00120E5C"/>
    <w:rsid w:val="00122BAF"/>
    <w:rsid w:val="00123C16"/>
    <w:rsid w:val="001240A7"/>
    <w:rsid w:val="00124B20"/>
    <w:rsid w:val="00124B86"/>
    <w:rsid w:val="0012504B"/>
    <w:rsid w:val="001261A0"/>
    <w:rsid w:val="00126823"/>
    <w:rsid w:val="00127C72"/>
    <w:rsid w:val="0013024B"/>
    <w:rsid w:val="00130E05"/>
    <w:rsid w:val="00131098"/>
    <w:rsid w:val="001310EA"/>
    <w:rsid w:val="00131903"/>
    <w:rsid w:val="00132AD3"/>
    <w:rsid w:val="001336E0"/>
    <w:rsid w:val="001365B6"/>
    <w:rsid w:val="00136EC0"/>
    <w:rsid w:val="001374BD"/>
    <w:rsid w:val="00137D3B"/>
    <w:rsid w:val="00140896"/>
    <w:rsid w:val="001421E1"/>
    <w:rsid w:val="001426EB"/>
    <w:rsid w:val="00142B44"/>
    <w:rsid w:val="00142EE3"/>
    <w:rsid w:val="00143A35"/>
    <w:rsid w:val="00144737"/>
    <w:rsid w:val="00144FE4"/>
    <w:rsid w:val="00145A68"/>
    <w:rsid w:val="00145FA8"/>
    <w:rsid w:val="001466CD"/>
    <w:rsid w:val="001469C1"/>
    <w:rsid w:val="00150292"/>
    <w:rsid w:val="0015044F"/>
    <w:rsid w:val="00150882"/>
    <w:rsid w:val="00152A16"/>
    <w:rsid w:val="00152C34"/>
    <w:rsid w:val="001534C2"/>
    <w:rsid w:val="00153AD7"/>
    <w:rsid w:val="0015445A"/>
    <w:rsid w:val="00154AFB"/>
    <w:rsid w:val="00154F51"/>
    <w:rsid w:val="001552A0"/>
    <w:rsid w:val="00155F3D"/>
    <w:rsid w:val="00157931"/>
    <w:rsid w:val="00157F85"/>
    <w:rsid w:val="00161D81"/>
    <w:rsid w:val="00163844"/>
    <w:rsid w:val="00163DA4"/>
    <w:rsid w:val="00163E84"/>
    <w:rsid w:val="00164252"/>
    <w:rsid w:val="00164DD7"/>
    <w:rsid w:val="00165011"/>
    <w:rsid w:val="0016534B"/>
    <w:rsid w:val="001664FB"/>
    <w:rsid w:val="0016652B"/>
    <w:rsid w:val="001665BB"/>
    <w:rsid w:val="00167429"/>
    <w:rsid w:val="00167FC3"/>
    <w:rsid w:val="00170590"/>
    <w:rsid w:val="00170B45"/>
    <w:rsid w:val="00170D80"/>
    <w:rsid w:val="00171949"/>
    <w:rsid w:val="00172163"/>
    <w:rsid w:val="001727C1"/>
    <w:rsid w:val="00172999"/>
    <w:rsid w:val="00172F69"/>
    <w:rsid w:val="00173EA1"/>
    <w:rsid w:val="00175F99"/>
    <w:rsid w:val="001763A5"/>
    <w:rsid w:val="001765C4"/>
    <w:rsid w:val="00176AFD"/>
    <w:rsid w:val="001777E8"/>
    <w:rsid w:val="0017783D"/>
    <w:rsid w:val="0017789D"/>
    <w:rsid w:val="001800A5"/>
    <w:rsid w:val="001811A7"/>
    <w:rsid w:val="00181ACB"/>
    <w:rsid w:val="00182680"/>
    <w:rsid w:val="001827DD"/>
    <w:rsid w:val="0018359E"/>
    <w:rsid w:val="00183D1D"/>
    <w:rsid w:val="0018419A"/>
    <w:rsid w:val="00184AC9"/>
    <w:rsid w:val="00184E5F"/>
    <w:rsid w:val="00185E95"/>
    <w:rsid w:val="00186921"/>
    <w:rsid w:val="001869F7"/>
    <w:rsid w:val="00187396"/>
    <w:rsid w:val="0018771B"/>
    <w:rsid w:val="001879A1"/>
    <w:rsid w:val="00187EFC"/>
    <w:rsid w:val="00190A00"/>
    <w:rsid w:val="00191AD3"/>
    <w:rsid w:val="00191B50"/>
    <w:rsid w:val="00191E87"/>
    <w:rsid w:val="00192709"/>
    <w:rsid w:val="0019311F"/>
    <w:rsid w:val="00193CE5"/>
    <w:rsid w:val="001941F3"/>
    <w:rsid w:val="001964C7"/>
    <w:rsid w:val="001966C7"/>
    <w:rsid w:val="001973C3"/>
    <w:rsid w:val="001A010B"/>
    <w:rsid w:val="001A0255"/>
    <w:rsid w:val="001A2456"/>
    <w:rsid w:val="001A298C"/>
    <w:rsid w:val="001A31E4"/>
    <w:rsid w:val="001A41E5"/>
    <w:rsid w:val="001A4866"/>
    <w:rsid w:val="001A5024"/>
    <w:rsid w:val="001A552B"/>
    <w:rsid w:val="001A5683"/>
    <w:rsid w:val="001A5AE9"/>
    <w:rsid w:val="001A70F5"/>
    <w:rsid w:val="001A7457"/>
    <w:rsid w:val="001B146B"/>
    <w:rsid w:val="001B1A08"/>
    <w:rsid w:val="001B1F1B"/>
    <w:rsid w:val="001B1F5E"/>
    <w:rsid w:val="001B241C"/>
    <w:rsid w:val="001B263D"/>
    <w:rsid w:val="001B2E82"/>
    <w:rsid w:val="001B3811"/>
    <w:rsid w:val="001B4C29"/>
    <w:rsid w:val="001B4DA5"/>
    <w:rsid w:val="001B51F1"/>
    <w:rsid w:val="001B5681"/>
    <w:rsid w:val="001B5AE7"/>
    <w:rsid w:val="001B62D3"/>
    <w:rsid w:val="001B6ACA"/>
    <w:rsid w:val="001C1D4B"/>
    <w:rsid w:val="001C36C9"/>
    <w:rsid w:val="001C3F0D"/>
    <w:rsid w:val="001C4200"/>
    <w:rsid w:val="001C46DD"/>
    <w:rsid w:val="001C4CE2"/>
    <w:rsid w:val="001C4F00"/>
    <w:rsid w:val="001C5615"/>
    <w:rsid w:val="001D26E7"/>
    <w:rsid w:val="001D39EC"/>
    <w:rsid w:val="001D4576"/>
    <w:rsid w:val="001D4FF6"/>
    <w:rsid w:val="001D508B"/>
    <w:rsid w:val="001D7BD6"/>
    <w:rsid w:val="001D7C64"/>
    <w:rsid w:val="001E0654"/>
    <w:rsid w:val="001E0F91"/>
    <w:rsid w:val="001E1300"/>
    <w:rsid w:val="001E13A4"/>
    <w:rsid w:val="001E1FB2"/>
    <w:rsid w:val="001E2694"/>
    <w:rsid w:val="001E29BF"/>
    <w:rsid w:val="001E3014"/>
    <w:rsid w:val="001E3FCF"/>
    <w:rsid w:val="001E404E"/>
    <w:rsid w:val="001E441F"/>
    <w:rsid w:val="001E67D8"/>
    <w:rsid w:val="001E744C"/>
    <w:rsid w:val="001E77A7"/>
    <w:rsid w:val="001E78BD"/>
    <w:rsid w:val="001E7BC3"/>
    <w:rsid w:val="001F0D50"/>
    <w:rsid w:val="001F1B37"/>
    <w:rsid w:val="001F2B92"/>
    <w:rsid w:val="001F3252"/>
    <w:rsid w:val="001F3B60"/>
    <w:rsid w:val="001F3D06"/>
    <w:rsid w:val="001F4149"/>
    <w:rsid w:val="001F4440"/>
    <w:rsid w:val="001F5079"/>
    <w:rsid w:val="001F57D4"/>
    <w:rsid w:val="001F5E94"/>
    <w:rsid w:val="001F6412"/>
    <w:rsid w:val="001F6BCD"/>
    <w:rsid w:val="001F79D4"/>
    <w:rsid w:val="0020087C"/>
    <w:rsid w:val="00200A7C"/>
    <w:rsid w:val="00200F33"/>
    <w:rsid w:val="00201B9E"/>
    <w:rsid w:val="0020292C"/>
    <w:rsid w:val="002034E9"/>
    <w:rsid w:val="00203FB2"/>
    <w:rsid w:val="00205322"/>
    <w:rsid w:val="00205344"/>
    <w:rsid w:val="00205568"/>
    <w:rsid w:val="00207B4C"/>
    <w:rsid w:val="00210C46"/>
    <w:rsid w:val="00211DE5"/>
    <w:rsid w:val="00212906"/>
    <w:rsid w:val="0021291E"/>
    <w:rsid w:val="00213866"/>
    <w:rsid w:val="00215579"/>
    <w:rsid w:val="00215AF8"/>
    <w:rsid w:val="00215C05"/>
    <w:rsid w:val="00216BF7"/>
    <w:rsid w:val="002170D0"/>
    <w:rsid w:val="0022028D"/>
    <w:rsid w:val="0022102F"/>
    <w:rsid w:val="00221049"/>
    <w:rsid w:val="00225A44"/>
    <w:rsid w:val="00226030"/>
    <w:rsid w:val="002272CB"/>
    <w:rsid w:val="00227453"/>
    <w:rsid w:val="00227719"/>
    <w:rsid w:val="00227881"/>
    <w:rsid w:val="00227A4F"/>
    <w:rsid w:val="002301A0"/>
    <w:rsid w:val="002311DB"/>
    <w:rsid w:val="00232CE2"/>
    <w:rsid w:val="00233EA0"/>
    <w:rsid w:val="00234EEE"/>
    <w:rsid w:val="0023689D"/>
    <w:rsid w:val="002371C9"/>
    <w:rsid w:val="002371F2"/>
    <w:rsid w:val="00237862"/>
    <w:rsid w:val="00237FF3"/>
    <w:rsid w:val="00240823"/>
    <w:rsid w:val="00240EF0"/>
    <w:rsid w:val="002424A5"/>
    <w:rsid w:val="00242D53"/>
    <w:rsid w:val="00242F61"/>
    <w:rsid w:val="0024340F"/>
    <w:rsid w:val="00245181"/>
    <w:rsid w:val="00245294"/>
    <w:rsid w:val="0024684C"/>
    <w:rsid w:val="002478A6"/>
    <w:rsid w:val="00247F0C"/>
    <w:rsid w:val="0025026C"/>
    <w:rsid w:val="00250946"/>
    <w:rsid w:val="00252F01"/>
    <w:rsid w:val="00253274"/>
    <w:rsid w:val="002576A7"/>
    <w:rsid w:val="00257C51"/>
    <w:rsid w:val="00260AC1"/>
    <w:rsid w:val="0026135A"/>
    <w:rsid w:val="00261911"/>
    <w:rsid w:val="0026212D"/>
    <w:rsid w:val="00262539"/>
    <w:rsid w:val="002631D7"/>
    <w:rsid w:val="00263B58"/>
    <w:rsid w:val="002641FB"/>
    <w:rsid w:val="002664EC"/>
    <w:rsid w:val="00266E63"/>
    <w:rsid w:val="00267533"/>
    <w:rsid w:val="002703BC"/>
    <w:rsid w:val="00270CF5"/>
    <w:rsid w:val="00272050"/>
    <w:rsid w:val="00272357"/>
    <w:rsid w:val="00273CAD"/>
    <w:rsid w:val="00273EC9"/>
    <w:rsid w:val="00274DD2"/>
    <w:rsid w:val="002754AC"/>
    <w:rsid w:val="00276291"/>
    <w:rsid w:val="00277A11"/>
    <w:rsid w:val="00277AC6"/>
    <w:rsid w:val="002802A8"/>
    <w:rsid w:val="00280E76"/>
    <w:rsid w:val="00280E85"/>
    <w:rsid w:val="00281059"/>
    <w:rsid w:val="00283BFD"/>
    <w:rsid w:val="0028639D"/>
    <w:rsid w:val="002864BE"/>
    <w:rsid w:val="002901EC"/>
    <w:rsid w:val="0029054E"/>
    <w:rsid w:val="002908B3"/>
    <w:rsid w:val="00290AD1"/>
    <w:rsid w:val="00292334"/>
    <w:rsid w:val="00292A34"/>
    <w:rsid w:val="002938D7"/>
    <w:rsid w:val="0029499E"/>
    <w:rsid w:val="00296554"/>
    <w:rsid w:val="0029676D"/>
    <w:rsid w:val="00297E76"/>
    <w:rsid w:val="002A0328"/>
    <w:rsid w:val="002A03C5"/>
    <w:rsid w:val="002A0C0B"/>
    <w:rsid w:val="002A1298"/>
    <w:rsid w:val="002A13B2"/>
    <w:rsid w:val="002A246C"/>
    <w:rsid w:val="002A3ADA"/>
    <w:rsid w:val="002A4DDE"/>
    <w:rsid w:val="002A5326"/>
    <w:rsid w:val="002A56A2"/>
    <w:rsid w:val="002A5EBE"/>
    <w:rsid w:val="002A7A2B"/>
    <w:rsid w:val="002A7B33"/>
    <w:rsid w:val="002A7E76"/>
    <w:rsid w:val="002B0379"/>
    <w:rsid w:val="002B1D34"/>
    <w:rsid w:val="002B27EC"/>
    <w:rsid w:val="002B309D"/>
    <w:rsid w:val="002B33CD"/>
    <w:rsid w:val="002B38AA"/>
    <w:rsid w:val="002B3E0A"/>
    <w:rsid w:val="002B4B75"/>
    <w:rsid w:val="002B55F0"/>
    <w:rsid w:val="002B5CBA"/>
    <w:rsid w:val="002B5E50"/>
    <w:rsid w:val="002C0D6F"/>
    <w:rsid w:val="002C0E96"/>
    <w:rsid w:val="002C0EC4"/>
    <w:rsid w:val="002C11FD"/>
    <w:rsid w:val="002C2D11"/>
    <w:rsid w:val="002C3302"/>
    <w:rsid w:val="002C527D"/>
    <w:rsid w:val="002C606C"/>
    <w:rsid w:val="002C6605"/>
    <w:rsid w:val="002C70FD"/>
    <w:rsid w:val="002D0950"/>
    <w:rsid w:val="002D0A9B"/>
    <w:rsid w:val="002D1457"/>
    <w:rsid w:val="002D189C"/>
    <w:rsid w:val="002D1C30"/>
    <w:rsid w:val="002D247F"/>
    <w:rsid w:val="002D3768"/>
    <w:rsid w:val="002D43E6"/>
    <w:rsid w:val="002D52E4"/>
    <w:rsid w:val="002D6438"/>
    <w:rsid w:val="002D72F2"/>
    <w:rsid w:val="002D743F"/>
    <w:rsid w:val="002E1957"/>
    <w:rsid w:val="002E2C7E"/>
    <w:rsid w:val="002E3363"/>
    <w:rsid w:val="002E472F"/>
    <w:rsid w:val="002E495C"/>
    <w:rsid w:val="002E4BAB"/>
    <w:rsid w:val="002E509F"/>
    <w:rsid w:val="002E5608"/>
    <w:rsid w:val="002E56CC"/>
    <w:rsid w:val="002E5E91"/>
    <w:rsid w:val="002E5F21"/>
    <w:rsid w:val="002F07D3"/>
    <w:rsid w:val="002F100D"/>
    <w:rsid w:val="002F1043"/>
    <w:rsid w:val="002F1156"/>
    <w:rsid w:val="002F277D"/>
    <w:rsid w:val="002F2C57"/>
    <w:rsid w:val="002F2DDE"/>
    <w:rsid w:val="002F2F84"/>
    <w:rsid w:val="002F73CB"/>
    <w:rsid w:val="003008B2"/>
    <w:rsid w:val="00300E64"/>
    <w:rsid w:val="00301881"/>
    <w:rsid w:val="00301D35"/>
    <w:rsid w:val="00302604"/>
    <w:rsid w:val="00302C80"/>
    <w:rsid w:val="00303A4F"/>
    <w:rsid w:val="00303D3D"/>
    <w:rsid w:val="00304FBB"/>
    <w:rsid w:val="0030548F"/>
    <w:rsid w:val="00305EB7"/>
    <w:rsid w:val="003066D6"/>
    <w:rsid w:val="00306D60"/>
    <w:rsid w:val="00310046"/>
    <w:rsid w:val="00312AD6"/>
    <w:rsid w:val="00312C91"/>
    <w:rsid w:val="00312E66"/>
    <w:rsid w:val="003130BB"/>
    <w:rsid w:val="003139BB"/>
    <w:rsid w:val="00313C76"/>
    <w:rsid w:val="00314678"/>
    <w:rsid w:val="00314BF9"/>
    <w:rsid w:val="00316295"/>
    <w:rsid w:val="0031633C"/>
    <w:rsid w:val="00316F45"/>
    <w:rsid w:val="0031754E"/>
    <w:rsid w:val="003211F6"/>
    <w:rsid w:val="003215F8"/>
    <w:rsid w:val="003223A9"/>
    <w:rsid w:val="00323068"/>
    <w:rsid w:val="00324E91"/>
    <w:rsid w:val="003254A3"/>
    <w:rsid w:val="003255C4"/>
    <w:rsid w:val="00325915"/>
    <w:rsid w:val="00325A19"/>
    <w:rsid w:val="00325DC3"/>
    <w:rsid w:val="00325FAB"/>
    <w:rsid w:val="0033000E"/>
    <w:rsid w:val="003301CD"/>
    <w:rsid w:val="00330E64"/>
    <w:rsid w:val="00330FE8"/>
    <w:rsid w:val="00331AC3"/>
    <w:rsid w:val="003326F1"/>
    <w:rsid w:val="00333586"/>
    <w:rsid w:val="0033471A"/>
    <w:rsid w:val="0033505C"/>
    <w:rsid w:val="00335C3B"/>
    <w:rsid w:val="00335D34"/>
    <w:rsid w:val="00335E66"/>
    <w:rsid w:val="0033680B"/>
    <w:rsid w:val="00336D50"/>
    <w:rsid w:val="003374EE"/>
    <w:rsid w:val="00337F89"/>
    <w:rsid w:val="0034059C"/>
    <w:rsid w:val="00341570"/>
    <w:rsid w:val="00341BF7"/>
    <w:rsid w:val="00341C39"/>
    <w:rsid w:val="00342E94"/>
    <w:rsid w:val="0034353E"/>
    <w:rsid w:val="00343D39"/>
    <w:rsid w:val="00344DAF"/>
    <w:rsid w:val="00345797"/>
    <w:rsid w:val="003459D6"/>
    <w:rsid w:val="003459E4"/>
    <w:rsid w:val="00346D81"/>
    <w:rsid w:val="00347722"/>
    <w:rsid w:val="003502EB"/>
    <w:rsid w:val="003506CC"/>
    <w:rsid w:val="00350DF2"/>
    <w:rsid w:val="00352167"/>
    <w:rsid w:val="00353185"/>
    <w:rsid w:val="0035375E"/>
    <w:rsid w:val="00353895"/>
    <w:rsid w:val="003539D0"/>
    <w:rsid w:val="00353A18"/>
    <w:rsid w:val="00353B6D"/>
    <w:rsid w:val="00353FBA"/>
    <w:rsid w:val="00354FEA"/>
    <w:rsid w:val="00355E4C"/>
    <w:rsid w:val="00356918"/>
    <w:rsid w:val="00356DBE"/>
    <w:rsid w:val="003575C2"/>
    <w:rsid w:val="0035778D"/>
    <w:rsid w:val="003604FF"/>
    <w:rsid w:val="003607F8"/>
    <w:rsid w:val="00360AD7"/>
    <w:rsid w:val="00361779"/>
    <w:rsid w:val="00361CA6"/>
    <w:rsid w:val="00362231"/>
    <w:rsid w:val="00363026"/>
    <w:rsid w:val="003639FD"/>
    <w:rsid w:val="0036497D"/>
    <w:rsid w:val="003652CB"/>
    <w:rsid w:val="00366662"/>
    <w:rsid w:val="0037089A"/>
    <w:rsid w:val="003710A2"/>
    <w:rsid w:val="003731FC"/>
    <w:rsid w:val="00373418"/>
    <w:rsid w:val="00373715"/>
    <w:rsid w:val="0037388E"/>
    <w:rsid w:val="0037479D"/>
    <w:rsid w:val="00375CA2"/>
    <w:rsid w:val="00377346"/>
    <w:rsid w:val="003773BC"/>
    <w:rsid w:val="003773DB"/>
    <w:rsid w:val="00377485"/>
    <w:rsid w:val="003774D8"/>
    <w:rsid w:val="00377CA8"/>
    <w:rsid w:val="00380DBD"/>
    <w:rsid w:val="00381A39"/>
    <w:rsid w:val="00382E0D"/>
    <w:rsid w:val="003831C8"/>
    <w:rsid w:val="00383730"/>
    <w:rsid w:val="00383FA8"/>
    <w:rsid w:val="00384488"/>
    <w:rsid w:val="003845EC"/>
    <w:rsid w:val="00384673"/>
    <w:rsid w:val="00384E76"/>
    <w:rsid w:val="00384FCC"/>
    <w:rsid w:val="00385176"/>
    <w:rsid w:val="00385FBD"/>
    <w:rsid w:val="0038765D"/>
    <w:rsid w:val="00390079"/>
    <w:rsid w:val="0039032B"/>
    <w:rsid w:val="00393BAF"/>
    <w:rsid w:val="00393C1D"/>
    <w:rsid w:val="00393E67"/>
    <w:rsid w:val="00393EDF"/>
    <w:rsid w:val="0039458A"/>
    <w:rsid w:val="0039467F"/>
    <w:rsid w:val="003953E1"/>
    <w:rsid w:val="003A01A1"/>
    <w:rsid w:val="003A0453"/>
    <w:rsid w:val="003A0BEC"/>
    <w:rsid w:val="003A0D3E"/>
    <w:rsid w:val="003A279A"/>
    <w:rsid w:val="003A287E"/>
    <w:rsid w:val="003A3FF7"/>
    <w:rsid w:val="003A4671"/>
    <w:rsid w:val="003A47B4"/>
    <w:rsid w:val="003A6DD5"/>
    <w:rsid w:val="003A732F"/>
    <w:rsid w:val="003A7C90"/>
    <w:rsid w:val="003B1A23"/>
    <w:rsid w:val="003B20D5"/>
    <w:rsid w:val="003B3431"/>
    <w:rsid w:val="003B35B5"/>
    <w:rsid w:val="003B37B7"/>
    <w:rsid w:val="003B3A73"/>
    <w:rsid w:val="003B64CE"/>
    <w:rsid w:val="003B6A65"/>
    <w:rsid w:val="003C0758"/>
    <w:rsid w:val="003C0B76"/>
    <w:rsid w:val="003C0DB9"/>
    <w:rsid w:val="003C2E5A"/>
    <w:rsid w:val="003C36B2"/>
    <w:rsid w:val="003C3B5E"/>
    <w:rsid w:val="003C43CD"/>
    <w:rsid w:val="003C5393"/>
    <w:rsid w:val="003C663D"/>
    <w:rsid w:val="003C6E23"/>
    <w:rsid w:val="003C7DAA"/>
    <w:rsid w:val="003C7EB8"/>
    <w:rsid w:val="003D051A"/>
    <w:rsid w:val="003D0785"/>
    <w:rsid w:val="003D0A7A"/>
    <w:rsid w:val="003D1208"/>
    <w:rsid w:val="003D1254"/>
    <w:rsid w:val="003D2AC6"/>
    <w:rsid w:val="003D2E4A"/>
    <w:rsid w:val="003D3589"/>
    <w:rsid w:val="003D47E0"/>
    <w:rsid w:val="003D4A6E"/>
    <w:rsid w:val="003D5B2B"/>
    <w:rsid w:val="003D6272"/>
    <w:rsid w:val="003D6548"/>
    <w:rsid w:val="003D6928"/>
    <w:rsid w:val="003D7ADB"/>
    <w:rsid w:val="003E016A"/>
    <w:rsid w:val="003E0AB7"/>
    <w:rsid w:val="003E4422"/>
    <w:rsid w:val="003E553F"/>
    <w:rsid w:val="003E7A19"/>
    <w:rsid w:val="003F05EA"/>
    <w:rsid w:val="003F0A06"/>
    <w:rsid w:val="003F11DC"/>
    <w:rsid w:val="003F2167"/>
    <w:rsid w:val="003F2AC2"/>
    <w:rsid w:val="003F3240"/>
    <w:rsid w:val="003F59B6"/>
    <w:rsid w:val="003F695C"/>
    <w:rsid w:val="00400C1F"/>
    <w:rsid w:val="00401A23"/>
    <w:rsid w:val="00401D02"/>
    <w:rsid w:val="00401E78"/>
    <w:rsid w:val="00403596"/>
    <w:rsid w:val="0040400D"/>
    <w:rsid w:val="00404E67"/>
    <w:rsid w:val="00405387"/>
    <w:rsid w:val="004055CF"/>
    <w:rsid w:val="00405D66"/>
    <w:rsid w:val="0040624D"/>
    <w:rsid w:val="004072C3"/>
    <w:rsid w:val="00407B0D"/>
    <w:rsid w:val="00410129"/>
    <w:rsid w:val="00410B05"/>
    <w:rsid w:val="00411615"/>
    <w:rsid w:val="004126D7"/>
    <w:rsid w:val="004127A4"/>
    <w:rsid w:val="00413448"/>
    <w:rsid w:val="004138F1"/>
    <w:rsid w:val="00414456"/>
    <w:rsid w:val="00414998"/>
    <w:rsid w:val="0041520C"/>
    <w:rsid w:val="004153AA"/>
    <w:rsid w:val="00416111"/>
    <w:rsid w:val="00420659"/>
    <w:rsid w:val="00420FF9"/>
    <w:rsid w:val="00422802"/>
    <w:rsid w:val="0042301F"/>
    <w:rsid w:val="00423ADC"/>
    <w:rsid w:val="00423C04"/>
    <w:rsid w:val="00423DCD"/>
    <w:rsid w:val="004249D3"/>
    <w:rsid w:val="00425F89"/>
    <w:rsid w:val="00430030"/>
    <w:rsid w:val="004304DC"/>
    <w:rsid w:val="004308AD"/>
    <w:rsid w:val="00430FDF"/>
    <w:rsid w:val="00431B63"/>
    <w:rsid w:val="0043299E"/>
    <w:rsid w:val="00432CC2"/>
    <w:rsid w:val="00433076"/>
    <w:rsid w:val="00433524"/>
    <w:rsid w:val="0043387E"/>
    <w:rsid w:val="00434E30"/>
    <w:rsid w:val="0043569A"/>
    <w:rsid w:val="00435F6E"/>
    <w:rsid w:val="00436109"/>
    <w:rsid w:val="00437374"/>
    <w:rsid w:val="004405A5"/>
    <w:rsid w:val="00441BE2"/>
    <w:rsid w:val="00441C2B"/>
    <w:rsid w:val="00442398"/>
    <w:rsid w:val="0044319B"/>
    <w:rsid w:val="00443824"/>
    <w:rsid w:val="00444372"/>
    <w:rsid w:val="004447F5"/>
    <w:rsid w:val="00444DDA"/>
    <w:rsid w:val="0044529A"/>
    <w:rsid w:val="00445D20"/>
    <w:rsid w:val="00445EE5"/>
    <w:rsid w:val="00446745"/>
    <w:rsid w:val="00446CFB"/>
    <w:rsid w:val="00446E13"/>
    <w:rsid w:val="00446F31"/>
    <w:rsid w:val="00447818"/>
    <w:rsid w:val="00447DED"/>
    <w:rsid w:val="00451769"/>
    <w:rsid w:val="0045357E"/>
    <w:rsid w:val="0045391A"/>
    <w:rsid w:val="0045599A"/>
    <w:rsid w:val="00455D5D"/>
    <w:rsid w:val="00455F1F"/>
    <w:rsid w:val="00455FF2"/>
    <w:rsid w:val="004562D4"/>
    <w:rsid w:val="00456C64"/>
    <w:rsid w:val="00460AE9"/>
    <w:rsid w:val="00460DF3"/>
    <w:rsid w:val="00461FFC"/>
    <w:rsid w:val="00462A1D"/>
    <w:rsid w:val="00464337"/>
    <w:rsid w:val="00464D19"/>
    <w:rsid w:val="00465A55"/>
    <w:rsid w:val="0046609D"/>
    <w:rsid w:val="0046676B"/>
    <w:rsid w:val="00466B80"/>
    <w:rsid w:val="0046714D"/>
    <w:rsid w:val="0046740E"/>
    <w:rsid w:val="0047004E"/>
    <w:rsid w:val="00470ED2"/>
    <w:rsid w:val="004712B9"/>
    <w:rsid w:val="004715EC"/>
    <w:rsid w:val="00471E76"/>
    <w:rsid w:val="00471F9C"/>
    <w:rsid w:val="004732B3"/>
    <w:rsid w:val="00474AC3"/>
    <w:rsid w:val="00475A68"/>
    <w:rsid w:val="00475DD6"/>
    <w:rsid w:val="00476C57"/>
    <w:rsid w:val="004808F7"/>
    <w:rsid w:val="004818A9"/>
    <w:rsid w:val="00482135"/>
    <w:rsid w:val="004821BB"/>
    <w:rsid w:val="004824DE"/>
    <w:rsid w:val="00482FE9"/>
    <w:rsid w:val="004846F3"/>
    <w:rsid w:val="00487636"/>
    <w:rsid w:val="00487AA9"/>
    <w:rsid w:val="0049005E"/>
    <w:rsid w:val="00491546"/>
    <w:rsid w:val="0049182C"/>
    <w:rsid w:val="00491A8C"/>
    <w:rsid w:val="004925E0"/>
    <w:rsid w:val="0049319D"/>
    <w:rsid w:val="00493E75"/>
    <w:rsid w:val="00494278"/>
    <w:rsid w:val="004946F9"/>
    <w:rsid w:val="0049622B"/>
    <w:rsid w:val="00496947"/>
    <w:rsid w:val="004A031E"/>
    <w:rsid w:val="004A0E67"/>
    <w:rsid w:val="004A20E1"/>
    <w:rsid w:val="004A332A"/>
    <w:rsid w:val="004A3501"/>
    <w:rsid w:val="004A39AB"/>
    <w:rsid w:val="004A3F78"/>
    <w:rsid w:val="004A4B6A"/>
    <w:rsid w:val="004A5288"/>
    <w:rsid w:val="004A6F8A"/>
    <w:rsid w:val="004A78E9"/>
    <w:rsid w:val="004B1A2D"/>
    <w:rsid w:val="004B2144"/>
    <w:rsid w:val="004B2220"/>
    <w:rsid w:val="004B66B6"/>
    <w:rsid w:val="004B677F"/>
    <w:rsid w:val="004B6A2E"/>
    <w:rsid w:val="004B7270"/>
    <w:rsid w:val="004B75C9"/>
    <w:rsid w:val="004B7638"/>
    <w:rsid w:val="004B7E4A"/>
    <w:rsid w:val="004C064D"/>
    <w:rsid w:val="004C0EF0"/>
    <w:rsid w:val="004C1D85"/>
    <w:rsid w:val="004C1F61"/>
    <w:rsid w:val="004C3B84"/>
    <w:rsid w:val="004C45BE"/>
    <w:rsid w:val="004C46D3"/>
    <w:rsid w:val="004C5740"/>
    <w:rsid w:val="004D090A"/>
    <w:rsid w:val="004D1EE3"/>
    <w:rsid w:val="004D2379"/>
    <w:rsid w:val="004D40AC"/>
    <w:rsid w:val="004D55F1"/>
    <w:rsid w:val="004D597B"/>
    <w:rsid w:val="004D7012"/>
    <w:rsid w:val="004E0A50"/>
    <w:rsid w:val="004E0E4C"/>
    <w:rsid w:val="004E1167"/>
    <w:rsid w:val="004E24D5"/>
    <w:rsid w:val="004E2C6B"/>
    <w:rsid w:val="004E31AB"/>
    <w:rsid w:val="004E35AD"/>
    <w:rsid w:val="004E4C06"/>
    <w:rsid w:val="004E4F7C"/>
    <w:rsid w:val="004E52A3"/>
    <w:rsid w:val="004E7454"/>
    <w:rsid w:val="004E75B0"/>
    <w:rsid w:val="004F0711"/>
    <w:rsid w:val="004F0E29"/>
    <w:rsid w:val="004F107F"/>
    <w:rsid w:val="004F23B0"/>
    <w:rsid w:val="004F33B5"/>
    <w:rsid w:val="004F34FF"/>
    <w:rsid w:val="004F4D24"/>
    <w:rsid w:val="004F53C7"/>
    <w:rsid w:val="004F6248"/>
    <w:rsid w:val="004F6336"/>
    <w:rsid w:val="004F7394"/>
    <w:rsid w:val="004F73C6"/>
    <w:rsid w:val="004F7590"/>
    <w:rsid w:val="004F762E"/>
    <w:rsid w:val="00500A84"/>
    <w:rsid w:val="00500FC8"/>
    <w:rsid w:val="00501626"/>
    <w:rsid w:val="00501FAD"/>
    <w:rsid w:val="0050257C"/>
    <w:rsid w:val="005039DF"/>
    <w:rsid w:val="00505061"/>
    <w:rsid w:val="005062B7"/>
    <w:rsid w:val="00507331"/>
    <w:rsid w:val="00507B68"/>
    <w:rsid w:val="0051061A"/>
    <w:rsid w:val="005118D8"/>
    <w:rsid w:val="005118E9"/>
    <w:rsid w:val="00511C55"/>
    <w:rsid w:val="00513A74"/>
    <w:rsid w:val="00514D1A"/>
    <w:rsid w:val="00515966"/>
    <w:rsid w:val="00516DDB"/>
    <w:rsid w:val="00517023"/>
    <w:rsid w:val="00517520"/>
    <w:rsid w:val="00520964"/>
    <w:rsid w:val="00521EF0"/>
    <w:rsid w:val="00523679"/>
    <w:rsid w:val="00523E37"/>
    <w:rsid w:val="00523E64"/>
    <w:rsid w:val="00523F28"/>
    <w:rsid w:val="00524F08"/>
    <w:rsid w:val="005251DC"/>
    <w:rsid w:val="005253DC"/>
    <w:rsid w:val="00527A08"/>
    <w:rsid w:val="00530F7D"/>
    <w:rsid w:val="005327D4"/>
    <w:rsid w:val="005339FD"/>
    <w:rsid w:val="005342A8"/>
    <w:rsid w:val="0053661A"/>
    <w:rsid w:val="005366FD"/>
    <w:rsid w:val="00536808"/>
    <w:rsid w:val="00536D84"/>
    <w:rsid w:val="005378C8"/>
    <w:rsid w:val="00540953"/>
    <w:rsid w:val="00541268"/>
    <w:rsid w:val="005416D6"/>
    <w:rsid w:val="00541B14"/>
    <w:rsid w:val="0054216A"/>
    <w:rsid w:val="005429FF"/>
    <w:rsid w:val="00544FEE"/>
    <w:rsid w:val="00545741"/>
    <w:rsid w:val="00547801"/>
    <w:rsid w:val="00547859"/>
    <w:rsid w:val="00550130"/>
    <w:rsid w:val="005506B0"/>
    <w:rsid w:val="005507E1"/>
    <w:rsid w:val="00551266"/>
    <w:rsid w:val="00552E85"/>
    <w:rsid w:val="00553B3C"/>
    <w:rsid w:val="0055427C"/>
    <w:rsid w:val="00554737"/>
    <w:rsid w:val="00554999"/>
    <w:rsid w:val="00555A23"/>
    <w:rsid w:val="005571A7"/>
    <w:rsid w:val="0055790C"/>
    <w:rsid w:val="00560CC3"/>
    <w:rsid w:val="00561035"/>
    <w:rsid w:val="0056273F"/>
    <w:rsid w:val="00562C1E"/>
    <w:rsid w:val="005636C7"/>
    <w:rsid w:val="005651EE"/>
    <w:rsid w:val="00565570"/>
    <w:rsid w:val="00565917"/>
    <w:rsid w:val="00565D44"/>
    <w:rsid w:val="005665B7"/>
    <w:rsid w:val="00567574"/>
    <w:rsid w:val="00567AEF"/>
    <w:rsid w:val="00567D30"/>
    <w:rsid w:val="00570330"/>
    <w:rsid w:val="00570BF0"/>
    <w:rsid w:val="00571045"/>
    <w:rsid w:val="00571270"/>
    <w:rsid w:val="00572552"/>
    <w:rsid w:val="00572D15"/>
    <w:rsid w:val="00573A97"/>
    <w:rsid w:val="00573B2B"/>
    <w:rsid w:val="0057407F"/>
    <w:rsid w:val="00574C88"/>
    <w:rsid w:val="00575449"/>
    <w:rsid w:val="00575E0E"/>
    <w:rsid w:val="00576742"/>
    <w:rsid w:val="005802AC"/>
    <w:rsid w:val="00580619"/>
    <w:rsid w:val="0058080E"/>
    <w:rsid w:val="00582BA2"/>
    <w:rsid w:val="00583F98"/>
    <w:rsid w:val="0058409A"/>
    <w:rsid w:val="00584902"/>
    <w:rsid w:val="005857D3"/>
    <w:rsid w:val="00585D12"/>
    <w:rsid w:val="00586F82"/>
    <w:rsid w:val="00587129"/>
    <w:rsid w:val="00587847"/>
    <w:rsid w:val="00591907"/>
    <w:rsid w:val="00591B8B"/>
    <w:rsid w:val="005928C2"/>
    <w:rsid w:val="005955D8"/>
    <w:rsid w:val="0059710C"/>
    <w:rsid w:val="005974DE"/>
    <w:rsid w:val="005A0275"/>
    <w:rsid w:val="005A0484"/>
    <w:rsid w:val="005A07CE"/>
    <w:rsid w:val="005A09C1"/>
    <w:rsid w:val="005A0C37"/>
    <w:rsid w:val="005A0E37"/>
    <w:rsid w:val="005A2234"/>
    <w:rsid w:val="005A37C7"/>
    <w:rsid w:val="005A505E"/>
    <w:rsid w:val="005A573D"/>
    <w:rsid w:val="005A5A27"/>
    <w:rsid w:val="005A6BBA"/>
    <w:rsid w:val="005A73DA"/>
    <w:rsid w:val="005B00D3"/>
    <w:rsid w:val="005B0F46"/>
    <w:rsid w:val="005B3733"/>
    <w:rsid w:val="005B612D"/>
    <w:rsid w:val="005B62CE"/>
    <w:rsid w:val="005B713E"/>
    <w:rsid w:val="005C031C"/>
    <w:rsid w:val="005C2496"/>
    <w:rsid w:val="005C2B77"/>
    <w:rsid w:val="005C35BF"/>
    <w:rsid w:val="005C40E8"/>
    <w:rsid w:val="005C45ED"/>
    <w:rsid w:val="005C4EFB"/>
    <w:rsid w:val="005C5900"/>
    <w:rsid w:val="005C6EF0"/>
    <w:rsid w:val="005C72F1"/>
    <w:rsid w:val="005C7E1B"/>
    <w:rsid w:val="005D0DC3"/>
    <w:rsid w:val="005D0FFF"/>
    <w:rsid w:val="005D2C22"/>
    <w:rsid w:val="005D2CC9"/>
    <w:rsid w:val="005D3904"/>
    <w:rsid w:val="005D429E"/>
    <w:rsid w:val="005D436E"/>
    <w:rsid w:val="005D4C63"/>
    <w:rsid w:val="005D55C0"/>
    <w:rsid w:val="005D6A1F"/>
    <w:rsid w:val="005D6C6B"/>
    <w:rsid w:val="005E0947"/>
    <w:rsid w:val="005E098B"/>
    <w:rsid w:val="005E19E7"/>
    <w:rsid w:val="005E5796"/>
    <w:rsid w:val="005E5DD5"/>
    <w:rsid w:val="005E6D54"/>
    <w:rsid w:val="005E6DC7"/>
    <w:rsid w:val="005E7090"/>
    <w:rsid w:val="005E722F"/>
    <w:rsid w:val="005E7CA1"/>
    <w:rsid w:val="005F02E6"/>
    <w:rsid w:val="005F1585"/>
    <w:rsid w:val="005F181F"/>
    <w:rsid w:val="005F2337"/>
    <w:rsid w:val="005F3666"/>
    <w:rsid w:val="005F3B1A"/>
    <w:rsid w:val="005F5348"/>
    <w:rsid w:val="005F5A59"/>
    <w:rsid w:val="005F5F70"/>
    <w:rsid w:val="005F624F"/>
    <w:rsid w:val="005F633B"/>
    <w:rsid w:val="005F6727"/>
    <w:rsid w:val="005F7035"/>
    <w:rsid w:val="00600C8F"/>
    <w:rsid w:val="00601248"/>
    <w:rsid w:val="00603955"/>
    <w:rsid w:val="00604C10"/>
    <w:rsid w:val="00604DD8"/>
    <w:rsid w:val="006055E9"/>
    <w:rsid w:val="00607152"/>
    <w:rsid w:val="006078A5"/>
    <w:rsid w:val="00607CA4"/>
    <w:rsid w:val="00610869"/>
    <w:rsid w:val="00611DEE"/>
    <w:rsid w:val="006125BC"/>
    <w:rsid w:val="00612725"/>
    <w:rsid w:val="00613376"/>
    <w:rsid w:val="00613B5B"/>
    <w:rsid w:val="006144EA"/>
    <w:rsid w:val="0061455E"/>
    <w:rsid w:val="00615E81"/>
    <w:rsid w:val="006172BD"/>
    <w:rsid w:val="0061748A"/>
    <w:rsid w:val="00617E53"/>
    <w:rsid w:val="006200EA"/>
    <w:rsid w:val="006204D5"/>
    <w:rsid w:val="00620602"/>
    <w:rsid w:val="0062070E"/>
    <w:rsid w:val="006211B3"/>
    <w:rsid w:val="00622400"/>
    <w:rsid w:val="00623C2A"/>
    <w:rsid w:val="00623D84"/>
    <w:rsid w:val="0062404A"/>
    <w:rsid w:val="00624401"/>
    <w:rsid w:val="00624773"/>
    <w:rsid w:val="006253CE"/>
    <w:rsid w:val="0062582F"/>
    <w:rsid w:val="006267C5"/>
    <w:rsid w:val="00627F33"/>
    <w:rsid w:val="006305F6"/>
    <w:rsid w:val="00631ACC"/>
    <w:rsid w:val="00631E58"/>
    <w:rsid w:val="006320D7"/>
    <w:rsid w:val="0063278B"/>
    <w:rsid w:val="006332F8"/>
    <w:rsid w:val="006337B0"/>
    <w:rsid w:val="00636035"/>
    <w:rsid w:val="0063692C"/>
    <w:rsid w:val="006370CD"/>
    <w:rsid w:val="006372C8"/>
    <w:rsid w:val="0063789F"/>
    <w:rsid w:val="00637A03"/>
    <w:rsid w:val="00640BA1"/>
    <w:rsid w:val="00641A74"/>
    <w:rsid w:val="00641EEA"/>
    <w:rsid w:val="00642408"/>
    <w:rsid w:val="006427CE"/>
    <w:rsid w:val="006429CB"/>
    <w:rsid w:val="00642FAA"/>
    <w:rsid w:val="00643562"/>
    <w:rsid w:val="0064370D"/>
    <w:rsid w:val="00643B02"/>
    <w:rsid w:val="00643DD9"/>
    <w:rsid w:val="00644856"/>
    <w:rsid w:val="0064682E"/>
    <w:rsid w:val="00646B5D"/>
    <w:rsid w:val="006516B4"/>
    <w:rsid w:val="00651C37"/>
    <w:rsid w:val="00652089"/>
    <w:rsid w:val="006525F3"/>
    <w:rsid w:val="00652686"/>
    <w:rsid w:val="00653A41"/>
    <w:rsid w:val="00653C78"/>
    <w:rsid w:val="00653E7D"/>
    <w:rsid w:val="00654D64"/>
    <w:rsid w:val="0065638F"/>
    <w:rsid w:val="00657282"/>
    <w:rsid w:val="0065729B"/>
    <w:rsid w:val="0065735D"/>
    <w:rsid w:val="006604BC"/>
    <w:rsid w:val="0066177C"/>
    <w:rsid w:val="00661C37"/>
    <w:rsid w:val="00661C6F"/>
    <w:rsid w:val="00661D19"/>
    <w:rsid w:val="006627B3"/>
    <w:rsid w:val="00663483"/>
    <w:rsid w:val="006661B7"/>
    <w:rsid w:val="00666D18"/>
    <w:rsid w:val="00667316"/>
    <w:rsid w:val="0066790F"/>
    <w:rsid w:val="006701FA"/>
    <w:rsid w:val="00671452"/>
    <w:rsid w:val="006719FC"/>
    <w:rsid w:val="00674355"/>
    <w:rsid w:val="006745AA"/>
    <w:rsid w:val="0067582C"/>
    <w:rsid w:val="0067706D"/>
    <w:rsid w:val="006775BA"/>
    <w:rsid w:val="00677820"/>
    <w:rsid w:val="00677E74"/>
    <w:rsid w:val="00682DB7"/>
    <w:rsid w:val="00682FC2"/>
    <w:rsid w:val="0068362C"/>
    <w:rsid w:val="00685BC3"/>
    <w:rsid w:val="006868F9"/>
    <w:rsid w:val="00687243"/>
    <w:rsid w:val="00687ADA"/>
    <w:rsid w:val="00687D47"/>
    <w:rsid w:val="006901F6"/>
    <w:rsid w:val="006903A4"/>
    <w:rsid w:val="00691581"/>
    <w:rsid w:val="0069168F"/>
    <w:rsid w:val="00693F32"/>
    <w:rsid w:val="00694E29"/>
    <w:rsid w:val="00695560"/>
    <w:rsid w:val="00695C72"/>
    <w:rsid w:val="006978BD"/>
    <w:rsid w:val="006A29B2"/>
    <w:rsid w:val="006A3751"/>
    <w:rsid w:val="006A3A9E"/>
    <w:rsid w:val="006A4E8B"/>
    <w:rsid w:val="006A5711"/>
    <w:rsid w:val="006A5804"/>
    <w:rsid w:val="006A61B5"/>
    <w:rsid w:val="006A769B"/>
    <w:rsid w:val="006A7998"/>
    <w:rsid w:val="006B06A0"/>
    <w:rsid w:val="006B07A2"/>
    <w:rsid w:val="006B0C45"/>
    <w:rsid w:val="006B1112"/>
    <w:rsid w:val="006B3010"/>
    <w:rsid w:val="006B3A67"/>
    <w:rsid w:val="006B3E20"/>
    <w:rsid w:val="006B45FC"/>
    <w:rsid w:val="006B7F5C"/>
    <w:rsid w:val="006C0799"/>
    <w:rsid w:val="006C1273"/>
    <w:rsid w:val="006C194B"/>
    <w:rsid w:val="006C1D78"/>
    <w:rsid w:val="006C23A5"/>
    <w:rsid w:val="006C259E"/>
    <w:rsid w:val="006C2BEA"/>
    <w:rsid w:val="006C2CDB"/>
    <w:rsid w:val="006C2ECA"/>
    <w:rsid w:val="006C2F96"/>
    <w:rsid w:val="006C302F"/>
    <w:rsid w:val="006C4E26"/>
    <w:rsid w:val="006C55F8"/>
    <w:rsid w:val="006C6785"/>
    <w:rsid w:val="006C6A64"/>
    <w:rsid w:val="006C7CFB"/>
    <w:rsid w:val="006D2AF5"/>
    <w:rsid w:val="006D452C"/>
    <w:rsid w:val="006D4CFB"/>
    <w:rsid w:val="006D598E"/>
    <w:rsid w:val="006D5AFB"/>
    <w:rsid w:val="006D69EA"/>
    <w:rsid w:val="006E0545"/>
    <w:rsid w:val="006E1257"/>
    <w:rsid w:val="006E174A"/>
    <w:rsid w:val="006E2731"/>
    <w:rsid w:val="006E27F0"/>
    <w:rsid w:val="006E3BF6"/>
    <w:rsid w:val="006E4489"/>
    <w:rsid w:val="006E49BE"/>
    <w:rsid w:val="006E608B"/>
    <w:rsid w:val="006E6806"/>
    <w:rsid w:val="006E7A76"/>
    <w:rsid w:val="006F0C87"/>
    <w:rsid w:val="006F1B6C"/>
    <w:rsid w:val="006F26E8"/>
    <w:rsid w:val="006F2EE2"/>
    <w:rsid w:val="006F4108"/>
    <w:rsid w:val="006F5531"/>
    <w:rsid w:val="006F5675"/>
    <w:rsid w:val="006F607D"/>
    <w:rsid w:val="006F69BE"/>
    <w:rsid w:val="006F70EB"/>
    <w:rsid w:val="00700484"/>
    <w:rsid w:val="00700796"/>
    <w:rsid w:val="00700A3E"/>
    <w:rsid w:val="00700CE6"/>
    <w:rsid w:val="00701706"/>
    <w:rsid w:val="00702469"/>
    <w:rsid w:val="0070380C"/>
    <w:rsid w:val="00704807"/>
    <w:rsid w:val="00705856"/>
    <w:rsid w:val="00705E89"/>
    <w:rsid w:val="00705F8D"/>
    <w:rsid w:val="00706271"/>
    <w:rsid w:val="00706765"/>
    <w:rsid w:val="00710901"/>
    <w:rsid w:val="00710B13"/>
    <w:rsid w:val="0071100C"/>
    <w:rsid w:val="00711798"/>
    <w:rsid w:val="00711A9C"/>
    <w:rsid w:val="00712560"/>
    <w:rsid w:val="00712A2D"/>
    <w:rsid w:val="00712C72"/>
    <w:rsid w:val="00712E5D"/>
    <w:rsid w:val="00713D05"/>
    <w:rsid w:val="00713F72"/>
    <w:rsid w:val="00714D8F"/>
    <w:rsid w:val="00715301"/>
    <w:rsid w:val="00716816"/>
    <w:rsid w:val="00716E4F"/>
    <w:rsid w:val="00717EDA"/>
    <w:rsid w:val="007206AD"/>
    <w:rsid w:val="0072348F"/>
    <w:rsid w:val="007245B0"/>
    <w:rsid w:val="007246EE"/>
    <w:rsid w:val="00724A47"/>
    <w:rsid w:val="00724B7D"/>
    <w:rsid w:val="00724D34"/>
    <w:rsid w:val="007262D3"/>
    <w:rsid w:val="007263F5"/>
    <w:rsid w:val="0072670D"/>
    <w:rsid w:val="00727061"/>
    <w:rsid w:val="007277A5"/>
    <w:rsid w:val="00727879"/>
    <w:rsid w:val="00727A8F"/>
    <w:rsid w:val="00730840"/>
    <w:rsid w:val="007308E9"/>
    <w:rsid w:val="00730B17"/>
    <w:rsid w:val="00731076"/>
    <w:rsid w:val="0073180C"/>
    <w:rsid w:val="00732AD1"/>
    <w:rsid w:val="00733C1A"/>
    <w:rsid w:val="00736357"/>
    <w:rsid w:val="007374B5"/>
    <w:rsid w:val="0073783A"/>
    <w:rsid w:val="00740237"/>
    <w:rsid w:val="0074090A"/>
    <w:rsid w:val="007421FA"/>
    <w:rsid w:val="007424BB"/>
    <w:rsid w:val="00742899"/>
    <w:rsid w:val="00743404"/>
    <w:rsid w:val="007434ED"/>
    <w:rsid w:val="00743946"/>
    <w:rsid w:val="0074459F"/>
    <w:rsid w:val="007446C4"/>
    <w:rsid w:val="00744911"/>
    <w:rsid w:val="00745BAA"/>
    <w:rsid w:val="00745E69"/>
    <w:rsid w:val="0074689E"/>
    <w:rsid w:val="00747661"/>
    <w:rsid w:val="00747B9F"/>
    <w:rsid w:val="00750525"/>
    <w:rsid w:val="00750923"/>
    <w:rsid w:val="0075105B"/>
    <w:rsid w:val="007516D0"/>
    <w:rsid w:val="00753A98"/>
    <w:rsid w:val="00754338"/>
    <w:rsid w:val="00757846"/>
    <w:rsid w:val="007623B5"/>
    <w:rsid w:val="007626CB"/>
    <w:rsid w:val="007627DD"/>
    <w:rsid w:val="00763200"/>
    <w:rsid w:val="00763CA7"/>
    <w:rsid w:val="0076415A"/>
    <w:rsid w:val="007667A0"/>
    <w:rsid w:val="00766C34"/>
    <w:rsid w:val="00770493"/>
    <w:rsid w:val="00770B93"/>
    <w:rsid w:val="00772CB1"/>
    <w:rsid w:val="0077424D"/>
    <w:rsid w:val="00774AE7"/>
    <w:rsid w:val="00775195"/>
    <w:rsid w:val="0077599B"/>
    <w:rsid w:val="007765C3"/>
    <w:rsid w:val="00776785"/>
    <w:rsid w:val="0077776E"/>
    <w:rsid w:val="007816C5"/>
    <w:rsid w:val="00784D9B"/>
    <w:rsid w:val="007852A1"/>
    <w:rsid w:val="00785512"/>
    <w:rsid w:val="00786485"/>
    <w:rsid w:val="00786774"/>
    <w:rsid w:val="00790B95"/>
    <w:rsid w:val="0079120E"/>
    <w:rsid w:val="00792507"/>
    <w:rsid w:val="00793DEE"/>
    <w:rsid w:val="00793EFC"/>
    <w:rsid w:val="00793F4A"/>
    <w:rsid w:val="00793F72"/>
    <w:rsid w:val="0079506C"/>
    <w:rsid w:val="00795905"/>
    <w:rsid w:val="007965A1"/>
    <w:rsid w:val="00796BA4"/>
    <w:rsid w:val="00796E4A"/>
    <w:rsid w:val="00797063"/>
    <w:rsid w:val="007978E5"/>
    <w:rsid w:val="007A08E8"/>
    <w:rsid w:val="007A0A0A"/>
    <w:rsid w:val="007A1242"/>
    <w:rsid w:val="007A1AF1"/>
    <w:rsid w:val="007A1CFC"/>
    <w:rsid w:val="007A2AB6"/>
    <w:rsid w:val="007A2B40"/>
    <w:rsid w:val="007A2E6E"/>
    <w:rsid w:val="007A32C1"/>
    <w:rsid w:val="007A352C"/>
    <w:rsid w:val="007A3D3C"/>
    <w:rsid w:val="007A4364"/>
    <w:rsid w:val="007A4464"/>
    <w:rsid w:val="007A5856"/>
    <w:rsid w:val="007A6FA2"/>
    <w:rsid w:val="007A6FAE"/>
    <w:rsid w:val="007A70E6"/>
    <w:rsid w:val="007B0646"/>
    <w:rsid w:val="007B1062"/>
    <w:rsid w:val="007B2CA6"/>
    <w:rsid w:val="007B5383"/>
    <w:rsid w:val="007B63FE"/>
    <w:rsid w:val="007B7374"/>
    <w:rsid w:val="007B788F"/>
    <w:rsid w:val="007C0464"/>
    <w:rsid w:val="007C142F"/>
    <w:rsid w:val="007C39D6"/>
    <w:rsid w:val="007C58AD"/>
    <w:rsid w:val="007C5B57"/>
    <w:rsid w:val="007C5E36"/>
    <w:rsid w:val="007C6A3B"/>
    <w:rsid w:val="007C6EAD"/>
    <w:rsid w:val="007C72EE"/>
    <w:rsid w:val="007C7E12"/>
    <w:rsid w:val="007D0286"/>
    <w:rsid w:val="007D04B6"/>
    <w:rsid w:val="007D068F"/>
    <w:rsid w:val="007D1D85"/>
    <w:rsid w:val="007D1FD8"/>
    <w:rsid w:val="007D212F"/>
    <w:rsid w:val="007D2657"/>
    <w:rsid w:val="007D316E"/>
    <w:rsid w:val="007D32EC"/>
    <w:rsid w:val="007D3434"/>
    <w:rsid w:val="007D3A97"/>
    <w:rsid w:val="007D3BDA"/>
    <w:rsid w:val="007D3CB3"/>
    <w:rsid w:val="007D3D74"/>
    <w:rsid w:val="007D582D"/>
    <w:rsid w:val="007D7DA2"/>
    <w:rsid w:val="007E06C6"/>
    <w:rsid w:val="007E117F"/>
    <w:rsid w:val="007E123B"/>
    <w:rsid w:val="007E2097"/>
    <w:rsid w:val="007E386E"/>
    <w:rsid w:val="007E3AF1"/>
    <w:rsid w:val="007E44FB"/>
    <w:rsid w:val="007E4E9B"/>
    <w:rsid w:val="007E5A70"/>
    <w:rsid w:val="007F0120"/>
    <w:rsid w:val="007F03AE"/>
    <w:rsid w:val="007F1DC1"/>
    <w:rsid w:val="007F21BF"/>
    <w:rsid w:val="007F299F"/>
    <w:rsid w:val="007F2A96"/>
    <w:rsid w:val="007F30A5"/>
    <w:rsid w:val="007F3301"/>
    <w:rsid w:val="007F365B"/>
    <w:rsid w:val="007F4313"/>
    <w:rsid w:val="007F491A"/>
    <w:rsid w:val="007F58A4"/>
    <w:rsid w:val="007F5C77"/>
    <w:rsid w:val="007F764E"/>
    <w:rsid w:val="007F7A73"/>
    <w:rsid w:val="007F7E45"/>
    <w:rsid w:val="0080049E"/>
    <w:rsid w:val="00800B54"/>
    <w:rsid w:val="00800B82"/>
    <w:rsid w:val="00800D9F"/>
    <w:rsid w:val="008011FD"/>
    <w:rsid w:val="00803164"/>
    <w:rsid w:val="008042DC"/>
    <w:rsid w:val="0080536C"/>
    <w:rsid w:val="00805564"/>
    <w:rsid w:val="00805734"/>
    <w:rsid w:val="00805C47"/>
    <w:rsid w:val="00806688"/>
    <w:rsid w:val="00806A97"/>
    <w:rsid w:val="00806E84"/>
    <w:rsid w:val="0080770B"/>
    <w:rsid w:val="00807DB4"/>
    <w:rsid w:val="008111A3"/>
    <w:rsid w:val="00811F37"/>
    <w:rsid w:val="00812AB0"/>
    <w:rsid w:val="00812B6E"/>
    <w:rsid w:val="00812CAA"/>
    <w:rsid w:val="00812EF5"/>
    <w:rsid w:val="008131D5"/>
    <w:rsid w:val="00814875"/>
    <w:rsid w:val="008151E1"/>
    <w:rsid w:val="00815872"/>
    <w:rsid w:val="00815946"/>
    <w:rsid w:val="00816098"/>
    <w:rsid w:val="00816BCE"/>
    <w:rsid w:val="00816E43"/>
    <w:rsid w:val="00816E7F"/>
    <w:rsid w:val="00817A82"/>
    <w:rsid w:val="0082062A"/>
    <w:rsid w:val="008212A9"/>
    <w:rsid w:val="00821BA3"/>
    <w:rsid w:val="0082232B"/>
    <w:rsid w:val="00823917"/>
    <w:rsid w:val="00824423"/>
    <w:rsid w:val="0082725B"/>
    <w:rsid w:val="0082725F"/>
    <w:rsid w:val="00831D18"/>
    <w:rsid w:val="00832394"/>
    <w:rsid w:val="00833F84"/>
    <w:rsid w:val="0083433C"/>
    <w:rsid w:val="00834A00"/>
    <w:rsid w:val="00834B93"/>
    <w:rsid w:val="00834E69"/>
    <w:rsid w:val="00836384"/>
    <w:rsid w:val="00837640"/>
    <w:rsid w:val="00837F44"/>
    <w:rsid w:val="008403B6"/>
    <w:rsid w:val="008403BA"/>
    <w:rsid w:val="0084066D"/>
    <w:rsid w:val="00840E41"/>
    <w:rsid w:val="00841476"/>
    <w:rsid w:val="00841777"/>
    <w:rsid w:val="008420C4"/>
    <w:rsid w:val="00842496"/>
    <w:rsid w:val="0084353B"/>
    <w:rsid w:val="00844171"/>
    <w:rsid w:val="0084490E"/>
    <w:rsid w:val="00844BDE"/>
    <w:rsid w:val="008457F3"/>
    <w:rsid w:val="00845E70"/>
    <w:rsid w:val="00846747"/>
    <w:rsid w:val="008473DA"/>
    <w:rsid w:val="00847B53"/>
    <w:rsid w:val="0085000F"/>
    <w:rsid w:val="00850626"/>
    <w:rsid w:val="00850C0D"/>
    <w:rsid w:val="00851876"/>
    <w:rsid w:val="00851C61"/>
    <w:rsid w:val="008520FE"/>
    <w:rsid w:val="00852275"/>
    <w:rsid w:val="00852569"/>
    <w:rsid w:val="00852D37"/>
    <w:rsid w:val="00853700"/>
    <w:rsid w:val="00853F4B"/>
    <w:rsid w:val="0085461B"/>
    <w:rsid w:val="00855065"/>
    <w:rsid w:val="008558E4"/>
    <w:rsid w:val="008559ED"/>
    <w:rsid w:val="0085678E"/>
    <w:rsid w:val="00856E2F"/>
    <w:rsid w:val="00857B31"/>
    <w:rsid w:val="00857DDB"/>
    <w:rsid w:val="00857F38"/>
    <w:rsid w:val="0086012B"/>
    <w:rsid w:val="0086252A"/>
    <w:rsid w:val="00862753"/>
    <w:rsid w:val="0086408A"/>
    <w:rsid w:val="008648AE"/>
    <w:rsid w:val="008653AE"/>
    <w:rsid w:val="00865D61"/>
    <w:rsid w:val="0086617E"/>
    <w:rsid w:val="008661DC"/>
    <w:rsid w:val="008667BE"/>
    <w:rsid w:val="00867E4A"/>
    <w:rsid w:val="00871AA4"/>
    <w:rsid w:val="00872170"/>
    <w:rsid w:val="00872C41"/>
    <w:rsid w:val="00873719"/>
    <w:rsid w:val="008741CB"/>
    <w:rsid w:val="00874467"/>
    <w:rsid w:val="0087469D"/>
    <w:rsid w:val="00874933"/>
    <w:rsid w:val="00874CC4"/>
    <w:rsid w:val="00875A75"/>
    <w:rsid w:val="00877558"/>
    <w:rsid w:val="00877595"/>
    <w:rsid w:val="008777A5"/>
    <w:rsid w:val="00880510"/>
    <w:rsid w:val="00880A7D"/>
    <w:rsid w:val="00883D1D"/>
    <w:rsid w:val="00883FD0"/>
    <w:rsid w:val="00884216"/>
    <w:rsid w:val="008844A3"/>
    <w:rsid w:val="008846E8"/>
    <w:rsid w:val="00884F2C"/>
    <w:rsid w:val="008860F0"/>
    <w:rsid w:val="00886C76"/>
    <w:rsid w:val="00891A68"/>
    <w:rsid w:val="00892154"/>
    <w:rsid w:val="00892824"/>
    <w:rsid w:val="00892AF7"/>
    <w:rsid w:val="00893443"/>
    <w:rsid w:val="00893C52"/>
    <w:rsid w:val="00894BAF"/>
    <w:rsid w:val="00894E03"/>
    <w:rsid w:val="00895BBE"/>
    <w:rsid w:val="00895CE6"/>
    <w:rsid w:val="008963FC"/>
    <w:rsid w:val="008968A1"/>
    <w:rsid w:val="0089793B"/>
    <w:rsid w:val="008A02E5"/>
    <w:rsid w:val="008A073A"/>
    <w:rsid w:val="008A34EA"/>
    <w:rsid w:val="008A6057"/>
    <w:rsid w:val="008A6739"/>
    <w:rsid w:val="008A7D09"/>
    <w:rsid w:val="008B038E"/>
    <w:rsid w:val="008B044A"/>
    <w:rsid w:val="008B1B89"/>
    <w:rsid w:val="008B2A27"/>
    <w:rsid w:val="008B2B06"/>
    <w:rsid w:val="008B3E2E"/>
    <w:rsid w:val="008B4160"/>
    <w:rsid w:val="008B74F7"/>
    <w:rsid w:val="008B7D94"/>
    <w:rsid w:val="008C11E4"/>
    <w:rsid w:val="008C1B37"/>
    <w:rsid w:val="008C248C"/>
    <w:rsid w:val="008C4B65"/>
    <w:rsid w:val="008C6F39"/>
    <w:rsid w:val="008C7049"/>
    <w:rsid w:val="008D003E"/>
    <w:rsid w:val="008D0B80"/>
    <w:rsid w:val="008D1A03"/>
    <w:rsid w:val="008D42E2"/>
    <w:rsid w:val="008D5346"/>
    <w:rsid w:val="008D575E"/>
    <w:rsid w:val="008D6093"/>
    <w:rsid w:val="008D7036"/>
    <w:rsid w:val="008E00C5"/>
    <w:rsid w:val="008E06BA"/>
    <w:rsid w:val="008E1093"/>
    <w:rsid w:val="008E2184"/>
    <w:rsid w:val="008E21DD"/>
    <w:rsid w:val="008E23BE"/>
    <w:rsid w:val="008E25BB"/>
    <w:rsid w:val="008E3414"/>
    <w:rsid w:val="008E3B8D"/>
    <w:rsid w:val="008E51B5"/>
    <w:rsid w:val="008E6973"/>
    <w:rsid w:val="008E6B2F"/>
    <w:rsid w:val="008E7632"/>
    <w:rsid w:val="008F0897"/>
    <w:rsid w:val="008F4E24"/>
    <w:rsid w:val="008F5459"/>
    <w:rsid w:val="008F6029"/>
    <w:rsid w:val="008F631F"/>
    <w:rsid w:val="008F679A"/>
    <w:rsid w:val="008F6A25"/>
    <w:rsid w:val="008F7BE1"/>
    <w:rsid w:val="0090052E"/>
    <w:rsid w:val="009008BB"/>
    <w:rsid w:val="009013AA"/>
    <w:rsid w:val="00903380"/>
    <w:rsid w:val="00903C3D"/>
    <w:rsid w:val="00903EFC"/>
    <w:rsid w:val="00904496"/>
    <w:rsid w:val="0090588B"/>
    <w:rsid w:val="009059B2"/>
    <w:rsid w:val="00905F8D"/>
    <w:rsid w:val="00906208"/>
    <w:rsid w:val="00906AD8"/>
    <w:rsid w:val="00907E16"/>
    <w:rsid w:val="009116D4"/>
    <w:rsid w:val="009143DA"/>
    <w:rsid w:val="0091487E"/>
    <w:rsid w:val="009150E3"/>
    <w:rsid w:val="009155AE"/>
    <w:rsid w:val="00917950"/>
    <w:rsid w:val="00917998"/>
    <w:rsid w:val="00917C30"/>
    <w:rsid w:val="00917EE4"/>
    <w:rsid w:val="009223D3"/>
    <w:rsid w:val="00922FFD"/>
    <w:rsid w:val="00923AC8"/>
    <w:rsid w:val="0092452B"/>
    <w:rsid w:val="00924C0B"/>
    <w:rsid w:val="0092524F"/>
    <w:rsid w:val="0092563E"/>
    <w:rsid w:val="009263E1"/>
    <w:rsid w:val="009274BC"/>
    <w:rsid w:val="00927BA0"/>
    <w:rsid w:val="0093056A"/>
    <w:rsid w:val="009311AC"/>
    <w:rsid w:val="0093131A"/>
    <w:rsid w:val="00931EB3"/>
    <w:rsid w:val="00932BB2"/>
    <w:rsid w:val="00932D1D"/>
    <w:rsid w:val="009343F2"/>
    <w:rsid w:val="009348DE"/>
    <w:rsid w:val="00934A7C"/>
    <w:rsid w:val="009359EC"/>
    <w:rsid w:val="00937499"/>
    <w:rsid w:val="00937510"/>
    <w:rsid w:val="0093795D"/>
    <w:rsid w:val="00940DD8"/>
    <w:rsid w:val="00942D3D"/>
    <w:rsid w:val="0094408C"/>
    <w:rsid w:val="0094427A"/>
    <w:rsid w:val="00944D27"/>
    <w:rsid w:val="00944D6E"/>
    <w:rsid w:val="0094535B"/>
    <w:rsid w:val="0094579B"/>
    <w:rsid w:val="00946C1E"/>
    <w:rsid w:val="00946D35"/>
    <w:rsid w:val="00947AEC"/>
    <w:rsid w:val="00950337"/>
    <w:rsid w:val="009514D0"/>
    <w:rsid w:val="00952040"/>
    <w:rsid w:val="0095216E"/>
    <w:rsid w:val="0095268B"/>
    <w:rsid w:val="00953818"/>
    <w:rsid w:val="00953E22"/>
    <w:rsid w:val="00954E52"/>
    <w:rsid w:val="00955057"/>
    <w:rsid w:val="00956795"/>
    <w:rsid w:val="009567AC"/>
    <w:rsid w:val="009600FA"/>
    <w:rsid w:val="0096017F"/>
    <w:rsid w:val="0096057C"/>
    <w:rsid w:val="0096133C"/>
    <w:rsid w:val="00962520"/>
    <w:rsid w:val="009625BE"/>
    <w:rsid w:val="00962904"/>
    <w:rsid w:val="00962BB9"/>
    <w:rsid w:val="00964612"/>
    <w:rsid w:val="009646ED"/>
    <w:rsid w:val="009647AB"/>
    <w:rsid w:val="00964E45"/>
    <w:rsid w:val="009660E2"/>
    <w:rsid w:val="00966EEB"/>
    <w:rsid w:val="00966FD5"/>
    <w:rsid w:val="009670F7"/>
    <w:rsid w:val="0096747D"/>
    <w:rsid w:val="00967FB2"/>
    <w:rsid w:val="0097054D"/>
    <w:rsid w:val="00971B25"/>
    <w:rsid w:val="00972FAB"/>
    <w:rsid w:val="0097300E"/>
    <w:rsid w:val="00973E1B"/>
    <w:rsid w:val="00974758"/>
    <w:rsid w:val="009748A4"/>
    <w:rsid w:val="00975049"/>
    <w:rsid w:val="009752EC"/>
    <w:rsid w:val="00975E61"/>
    <w:rsid w:val="009763C1"/>
    <w:rsid w:val="00976C75"/>
    <w:rsid w:val="00976F42"/>
    <w:rsid w:val="00977365"/>
    <w:rsid w:val="00977A69"/>
    <w:rsid w:val="009809EA"/>
    <w:rsid w:val="00981318"/>
    <w:rsid w:val="00981541"/>
    <w:rsid w:val="00982D3D"/>
    <w:rsid w:val="00983732"/>
    <w:rsid w:val="0098396C"/>
    <w:rsid w:val="00985D70"/>
    <w:rsid w:val="0098638D"/>
    <w:rsid w:val="00986CAA"/>
    <w:rsid w:val="00987002"/>
    <w:rsid w:val="009879BE"/>
    <w:rsid w:val="00987A7C"/>
    <w:rsid w:val="0099022D"/>
    <w:rsid w:val="00990401"/>
    <w:rsid w:val="00990AD2"/>
    <w:rsid w:val="00991281"/>
    <w:rsid w:val="00991AC2"/>
    <w:rsid w:val="00991B0D"/>
    <w:rsid w:val="00991D22"/>
    <w:rsid w:val="00992F09"/>
    <w:rsid w:val="0099317B"/>
    <w:rsid w:val="00993CB2"/>
    <w:rsid w:val="009940FB"/>
    <w:rsid w:val="00994179"/>
    <w:rsid w:val="0099525B"/>
    <w:rsid w:val="00995386"/>
    <w:rsid w:val="00996E8C"/>
    <w:rsid w:val="00996FA6"/>
    <w:rsid w:val="009974F3"/>
    <w:rsid w:val="00997BEF"/>
    <w:rsid w:val="009A0082"/>
    <w:rsid w:val="009A2831"/>
    <w:rsid w:val="009A4B12"/>
    <w:rsid w:val="009A542A"/>
    <w:rsid w:val="009A5501"/>
    <w:rsid w:val="009A5943"/>
    <w:rsid w:val="009A613C"/>
    <w:rsid w:val="009A6C52"/>
    <w:rsid w:val="009A7AEE"/>
    <w:rsid w:val="009B0709"/>
    <w:rsid w:val="009B0B37"/>
    <w:rsid w:val="009B22D7"/>
    <w:rsid w:val="009B291D"/>
    <w:rsid w:val="009B30E7"/>
    <w:rsid w:val="009B3AAA"/>
    <w:rsid w:val="009B523F"/>
    <w:rsid w:val="009B5384"/>
    <w:rsid w:val="009B5ACE"/>
    <w:rsid w:val="009B5DF7"/>
    <w:rsid w:val="009B5FBA"/>
    <w:rsid w:val="009B723D"/>
    <w:rsid w:val="009B73CD"/>
    <w:rsid w:val="009C02EA"/>
    <w:rsid w:val="009C06DE"/>
    <w:rsid w:val="009C13ED"/>
    <w:rsid w:val="009C159C"/>
    <w:rsid w:val="009C1F04"/>
    <w:rsid w:val="009C3365"/>
    <w:rsid w:val="009C3A59"/>
    <w:rsid w:val="009C3CDE"/>
    <w:rsid w:val="009C51C1"/>
    <w:rsid w:val="009C559E"/>
    <w:rsid w:val="009C6685"/>
    <w:rsid w:val="009C7447"/>
    <w:rsid w:val="009C7D07"/>
    <w:rsid w:val="009C7DF6"/>
    <w:rsid w:val="009D0DE1"/>
    <w:rsid w:val="009D1E5B"/>
    <w:rsid w:val="009D1FFC"/>
    <w:rsid w:val="009D2741"/>
    <w:rsid w:val="009D4146"/>
    <w:rsid w:val="009D41E1"/>
    <w:rsid w:val="009D51B5"/>
    <w:rsid w:val="009D70B6"/>
    <w:rsid w:val="009D738C"/>
    <w:rsid w:val="009D7AA5"/>
    <w:rsid w:val="009E0C38"/>
    <w:rsid w:val="009E22E8"/>
    <w:rsid w:val="009E2981"/>
    <w:rsid w:val="009E2A20"/>
    <w:rsid w:val="009E326F"/>
    <w:rsid w:val="009E32E5"/>
    <w:rsid w:val="009E4480"/>
    <w:rsid w:val="009E5773"/>
    <w:rsid w:val="009E6BFB"/>
    <w:rsid w:val="009F04C9"/>
    <w:rsid w:val="009F0EE6"/>
    <w:rsid w:val="009F11DD"/>
    <w:rsid w:val="009F423A"/>
    <w:rsid w:val="009F56B0"/>
    <w:rsid w:val="009F68D5"/>
    <w:rsid w:val="009F71E5"/>
    <w:rsid w:val="009F75D5"/>
    <w:rsid w:val="00A00CF9"/>
    <w:rsid w:val="00A00F55"/>
    <w:rsid w:val="00A01C0E"/>
    <w:rsid w:val="00A0222A"/>
    <w:rsid w:val="00A025D0"/>
    <w:rsid w:val="00A0334E"/>
    <w:rsid w:val="00A03654"/>
    <w:rsid w:val="00A04947"/>
    <w:rsid w:val="00A05176"/>
    <w:rsid w:val="00A056C7"/>
    <w:rsid w:val="00A0596A"/>
    <w:rsid w:val="00A0646D"/>
    <w:rsid w:val="00A06D3C"/>
    <w:rsid w:val="00A07B15"/>
    <w:rsid w:val="00A116B8"/>
    <w:rsid w:val="00A11C5E"/>
    <w:rsid w:val="00A121BC"/>
    <w:rsid w:val="00A12E0B"/>
    <w:rsid w:val="00A13938"/>
    <w:rsid w:val="00A13C5E"/>
    <w:rsid w:val="00A13E88"/>
    <w:rsid w:val="00A152DC"/>
    <w:rsid w:val="00A16387"/>
    <w:rsid w:val="00A169CC"/>
    <w:rsid w:val="00A1784D"/>
    <w:rsid w:val="00A17C7E"/>
    <w:rsid w:val="00A2097E"/>
    <w:rsid w:val="00A20B7E"/>
    <w:rsid w:val="00A212E3"/>
    <w:rsid w:val="00A2141E"/>
    <w:rsid w:val="00A21EEA"/>
    <w:rsid w:val="00A22247"/>
    <w:rsid w:val="00A23645"/>
    <w:rsid w:val="00A23679"/>
    <w:rsid w:val="00A24B98"/>
    <w:rsid w:val="00A255A5"/>
    <w:rsid w:val="00A25DEA"/>
    <w:rsid w:val="00A25FCD"/>
    <w:rsid w:val="00A327E0"/>
    <w:rsid w:val="00A34186"/>
    <w:rsid w:val="00A342FD"/>
    <w:rsid w:val="00A34A8F"/>
    <w:rsid w:val="00A352D0"/>
    <w:rsid w:val="00A36D56"/>
    <w:rsid w:val="00A37134"/>
    <w:rsid w:val="00A37185"/>
    <w:rsid w:val="00A37C3C"/>
    <w:rsid w:val="00A40673"/>
    <w:rsid w:val="00A40720"/>
    <w:rsid w:val="00A42082"/>
    <w:rsid w:val="00A42602"/>
    <w:rsid w:val="00A42A8E"/>
    <w:rsid w:val="00A42B75"/>
    <w:rsid w:val="00A42C0B"/>
    <w:rsid w:val="00A43950"/>
    <w:rsid w:val="00A43D4A"/>
    <w:rsid w:val="00A43E27"/>
    <w:rsid w:val="00A44104"/>
    <w:rsid w:val="00A44198"/>
    <w:rsid w:val="00A4423D"/>
    <w:rsid w:val="00A45200"/>
    <w:rsid w:val="00A45257"/>
    <w:rsid w:val="00A4565D"/>
    <w:rsid w:val="00A47CCD"/>
    <w:rsid w:val="00A501CB"/>
    <w:rsid w:val="00A5156E"/>
    <w:rsid w:val="00A515C2"/>
    <w:rsid w:val="00A519F9"/>
    <w:rsid w:val="00A53011"/>
    <w:rsid w:val="00A53074"/>
    <w:rsid w:val="00A533BA"/>
    <w:rsid w:val="00A55098"/>
    <w:rsid w:val="00A551F8"/>
    <w:rsid w:val="00A5536A"/>
    <w:rsid w:val="00A55872"/>
    <w:rsid w:val="00A56185"/>
    <w:rsid w:val="00A56987"/>
    <w:rsid w:val="00A60E25"/>
    <w:rsid w:val="00A61170"/>
    <w:rsid w:val="00A614B3"/>
    <w:rsid w:val="00A62E25"/>
    <w:rsid w:val="00A63109"/>
    <w:rsid w:val="00A6319E"/>
    <w:rsid w:val="00A634D8"/>
    <w:rsid w:val="00A64157"/>
    <w:rsid w:val="00A66230"/>
    <w:rsid w:val="00A666BD"/>
    <w:rsid w:val="00A66D7A"/>
    <w:rsid w:val="00A70CEC"/>
    <w:rsid w:val="00A71301"/>
    <w:rsid w:val="00A71520"/>
    <w:rsid w:val="00A71DA7"/>
    <w:rsid w:val="00A7276A"/>
    <w:rsid w:val="00A73AED"/>
    <w:rsid w:val="00A749F5"/>
    <w:rsid w:val="00A74A9D"/>
    <w:rsid w:val="00A74C2F"/>
    <w:rsid w:val="00A7578B"/>
    <w:rsid w:val="00A77426"/>
    <w:rsid w:val="00A81E38"/>
    <w:rsid w:val="00A82E6C"/>
    <w:rsid w:val="00A83382"/>
    <w:rsid w:val="00A84064"/>
    <w:rsid w:val="00A84232"/>
    <w:rsid w:val="00A8488E"/>
    <w:rsid w:val="00A84F73"/>
    <w:rsid w:val="00A85F5B"/>
    <w:rsid w:val="00A86223"/>
    <w:rsid w:val="00A877BC"/>
    <w:rsid w:val="00A90466"/>
    <w:rsid w:val="00A909A5"/>
    <w:rsid w:val="00A9128D"/>
    <w:rsid w:val="00A9205E"/>
    <w:rsid w:val="00A922ED"/>
    <w:rsid w:val="00A924D4"/>
    <w:rsid w:val="00A927F5"/>
    <w:rsid w:val="00A9417C"/>
    <w:rsid w:val="00A94DE9"/>
    <w:rsid w:val="00A95E78"/>
    <w:rsid w:val="00A964B2"/>
    <w:rsid w:val="00A97C51"/>
    <w:rsid w:val="00AA155D"/>
    <w:rsid w:val="00AA16CD"/>
    <w:rsid w:val="00AA1C56"/>
    <w:rsid w:val="00AA2DA9"/>
    <w:rsid w:val="00AA4567"/>
    <w:rsid w:val="00AA490B"/>
    <w:rsid w:val="00AA667C"/>
    <w:rsid w:val="00AA6D51"/>
    <w:rsid w:val="00AA6F7A"/>
    <w:rsid w:val="00AA7A0E"/>
    <w:rsid w:val="00AA7CBB"/>
    <w:rsid w:val="00AB03BA"/>
    <w:rsid w:val="00AB0D0D"/>
    <w:rsid w:val="00AB1587"/>
    <w:rsid w:val="00AB2284"/>
    <w:rsid w:val="00AB3FB3"/>
    <w:rsid w:val="00AB4948"/>
    <w:rsid w:val="00AB4A07"/>
    <w:rsid w:val="00AB6370"/>
    <w:rsid w:val="00AB738F"/>
    <w:rsid w:val="00AB73B7"/>
    <w:rsid w:val="00AB74D9"/>
    <w:rsid w:val="00AC00AB"/>
    <w:rsid w:val="00AC05A8"/>
    <w:rsid w:val="00AC1BB0"/>
    <w:rsid w:val="00AC370C"/>
    <w:rsid w:val="00AC3ED8"/>
    <w:rsid w:val="00AC41CA"/>
    <w:rsid w:val="00AC4315"/>
    <w:rsid w:val="00AC481F"/>
    <w:rsid w:val="00AC6E7A"/>
    <w:rsid w:val="00AC6EA7"/>
    <w:rsid w:val="00AC70E9"/>
    <w:rsid w:val="00AC7914"/>
    <w:rsid w:val="00AC7C7D"/>
    <w:rsid w:val="00AD1263"/>
    <w:rsid w:val="00AD20A5"/>
    <w:rsid w:val="00AD2B90"/>
    <w:rsid w:val="00AD325F"/>
    <w:rsid w:val="00AD4620"/>
    <w:rsid w:val="00AD5C01"/>
    <w:rsid w:val="00AD5DF3"/>
    <w:rsid w:val="00AD642B"/>
    <w:rsid w:val="00AD67C0"/>
    <w:rsid w:val="00AD69F7"/>
    <w:rsid w:val="00AD6D63"/>
    <w:rsid w:val="00AD7082"/>
    <w:rsid w:val="00AD7C02"/>
    <w:rsid w:val="00AE1211"/>
    <w:rsid w:val="00AE2942"/>
    <w:rsid w:val="00AE3A35"/>
    <w:rsid w:val="00AE3A43"/>
    <w:rsid w:val="00AE3A8C"/>
    <w:rsid w:val="00AE3C83"/>
    <w:rsid w:val="00AE3F64"/>
    <w:rsid w:val="00AE3FA1"/>
    <w:rsid w:val="00AE509E"/>
    <w:rsid w:val="00AE510C"/>
    <w:rsid w:val="00AE5D21"/>
    <w:rsid w:val="00AE5FB0"/>
    <w:rsid w:val="00AE6057"/>
    <w:rsid w:val="00AE6077"/>
    <w:rsid w:val="00AE60E3"/>
    <w:rsid w:val="00AE6247"/>
    <w:rsid w:val="00AE70C3"/>
    <w:rsid w:val="00AF1FC5"/>
    <w:rsid w:val="00AF4936"/>
    <w:rsid w:val="00AF601F"/>
    <w:rsid w:val="00AF6AA3"/>
    <w:rsid w:val="00B0001A"/>
    <w:rsid w:val="00B009A9"/>
    <w:rsid w:val="00B00F72"/>
    <w:rsid w:val="00B0101D"/>
    <w:rsid w:val="00B0114D"/>
    <w:rsid w:val="00B0122A"/>
    <w:rsid w:val="00B01A1A"/>
    <w:rsid w:val="00B01E4E"/>
    <w:rsid w:val="00B02421"/>
    <w:rsid w:val="00B028A7"/>
    <w:rsid w:val="00B03C09"/>
    <w:rsid w:val="00B04209"/>
    <w:rsid w:val="00B05C6C"/>
    <w:rsid w:val="00B06149"/>
    <w:rsid w:val="00B06ABB"/>
    <w:rsid w:val="00B06B5B"/>
    <w:rsid w:val="00B07A54"/>
    <w:rsid w:val="00B104DD"/>
    <w:rsid w:val="00B107A1"/>
    <w:rsid w:val="00B11465"/>
    <w:rsid w:val="00B1226E"/>
    <w:rsid w:val="00B12BE2"/>
    <w:rsid w:val="00B1314E"/>
    <w:rsid w:val="00B14699"/>
    <w:rsid w:val="00B1518E"/>
    <w:rsid w:val="00B15564"/>
    <w:rsid w:val="00B15911"/>
    <w:rsid w:val="00B15B0A"/>
    <w:rsid w:val="00B178FE"/>
    <w:rsid w:val="00B21221"/>
    <w:rsid w:val="00B212FB"/>
    <w:rsid w:val="00B229D9"/>
    <w:rsid w:val="00B22FF4"/>
    <w:rsid w:val="00B24096"/>
    <w:rsid w:val="00B24C57"/>
    <w:rsid w:val="00B25CB7"/>
    <w:rsid w:val="00B26A92"/>
    <w:rsid w:val="00B30313"/>
    <w:rsid w:val="00B308B4"/>
    <w:rsid w:val="00B30CC1"/>
    <w:rsid w:val="00B30EC8"/>
    <w:rsid w:val="00B31139"/>
    <w:rsid w:val="00B32440"/>
    <w:rsid w:val="00B324C1"/>
    <w:rsid w:val="00B32C86"/>
    <w:rsid w:val="00B333C1"/>
    <w:rsid w:val="00B336B6"/>
    <w:rsid w:val="00B3405A"/>
    <w:rsid w:val="00B34733"/>
    <w:rsid w:val="00B35228"/>
    <w:rsid w:val="00B358FA"/>
    <w:rsid w:val="00B400B5"/>
    <w:rsid w:val="00B40AC1"/>
    <w:rsid w:val="00B41626"/>
    <w:rsid w:val="00B42168"/>
    <w:rsid w:val="00B4218C"/>
    <w:rsid w:val="00B423D6"/>
    <w:rsid w:val="00B4284C"/>
    <w:rsid w:val="00B45841"/>
    <w:rsid w:val="00B45934"/>
    <w:rsid w:val="00B45C1C"/>
    <w:rsid w:val="00B46992"/>
    <w:rsid w:val="00B4747A"/>
    <w:rsid w:val="00B476E8"/>
    <w:rsid w:val="00B5013C"/>
    <w:rsid w:val="00B50C8E"/>
    <w:rsid w:val="00B50E28"/>
    <w:rsid w:val="00B5157F"/>
    <w:rsid w:val="00B53682"/>
    <w:rsid w:val="00B53864"/>
    <w:rsid w:val="00B54418"/>
    <w:rsid w:val="00B54DD8"/>
    <w:rsid w:val="00B55182"/>
    <w:rsid w:val="00B55B36"/>
    <w:rsid w:val="00B5617C"/>
    <w:rsid w:val="00B562BD"/>
    <w:rsid w:val="00B567A5"/>
    <w:rsid w:val="00B56B10"/>
    <w:rsid w:val="00B5744A"/>
    <w:rsid w:val="00B57E9C"/>
    <w:rsid w:val="00B61547"/>
    <w:rsid w:val="00B61605"/>
    <w:rsid w:val="00B62086"/>
    <w:rsid w:val="00B62E59"/>
    <w:rsid w:val="00B63B3C"/>
    <w:rsid w:val="00B646C7"/>
    <w:rsid w:val="00B64C53"/>
    <w:rsid w:val="00B64E33"/>
    <w:rsid w:val="00B65342"/>
    <w:rsid w:val="00B65FFD"/>
    <w:rsid w:val="00B66407"/>
    <w:rsid w:val="00B66570"/>
    <w:rsid w:val="00B6659A"/>
    <w:rsid w:val="00B66ABF"/>
    <w:rsid w:val="00B66EA1"/>
    <w:rsid w:val="00B67C11"/>
    <w:rsid w:val="00B70A98"/>
    <w:rsid w:val="00B70FC9"/>
    <w:rsid w:val="00B719C4"/>
    <w:rsid w:val="00B719EF"/>
    <w:rsid w:val="00B72AB7"/>
    <w:rsid w:val="00B73E92"/>
    <w:rsid w:val="00B74DAD"/>
    <w:rsid w:val="00B7606F"/>
    <w:rsid w:val="00B777CE"/>
    <w:rsid w:val="00B77A23"/>
    <w:rsid w:val="00B800D3"/>
    <w:rsid w:val="00B80424"/>
    <w:rsid w:val="00B80795"/>
    <w:rsid w:val="00B807F6"/>
    <w:rsid w:val="00B80CAC"/>
    <w:rsid w:val="00B819FC"/>
    <w:rsid w:val="00B81A4A"/>
    <w:rsid w:val="00B82AC5"/>
    <w:rsid w:val="00B83CE0"/>
    <w:rsid w:val="00B83DE7"/>
    <w:rsid w:val="00B84B69"/>
    <w:rsid w:val="00B854F3"/>
    <w:rsid w:val="00B8583E"/>
    <w:rsid w:val="00B85AA5"/>
    <w:rsid w:val="00B85E99"/>
    <w:rsid w:val="00B85F76"/>
    <w:rsid w:val="00B86F53"/>
    <w:rsid w:val="00B87401"/>
    <w:rsid w:val="00B90E8F"/>
    <w:rsid w:val="00B91B75"/>
    <w:rsid w:val="00B922B6"/>
    <w:rsid w:val="00B925E8"/>
    <w:rsid w:val="00B9306B"/>
    <w:rsid w:val="00B9501C"/>
    <w:rsid w:val="00B95839"/>
    <w:rsid w:val="00B96359"/>
    <w:rsid w:val="00B96747"/>
    <w:rsid w:val="00B9696D"/>
    <w:rsid w:val="00B96FF3"/>
    <w:rsid w:val="00B97D04"/>
    <w:rsid w:val="00BA022C"/>
    <w:rsid w:val="00BA16BC"/>
    <w:rsid w:val="00BA3EC5"/>
    <w:rsid w:val="00BA4373"/>
    <w:rsid w:val="00BA49C9"/>
    <w:rsid w:val="00BA4B88"/>
    <w:rsid w:val="00BA4EB6"/>
    <w:rsid w:val="00BA6437"/>
    <w:rsid w:val="00BA6FA7"/>
    <w:rsid w:val="00BA723A"/>
    <w:rsid w:val="00BA741A"/>
    <w:rsid w:val="00BA78B0"/>
    <w:rsid w:val="00BB0062"/>
    <w:rsid w:val="00BB022D"/>
    <w:rsid w:val="00BB13CC"/>
    <w:rsid w:val="00BB184C"/>
    <w:rsid w:val="00BB5BEA"/>
    <w:rsid w:val="00BB7683"/>
    <w:rsid w:val="00BB7945"/>
    <w:rsid w:val="00BC0C7C"/>
    <w:rsid w:val="00BC1722"/>
    <w:rsid w:val="00BC24D5"/>
    <w:rsid w:val="00BC3315"/>
    <w:rsid w:val="00BC40CE"/>
    <w:rsid w:val="00BC54C0"/>
    <w:rsid w:val="00BC6594"/>
    <w:rsid w:val="00BC7E92"/>
    <w:rsid w:val="00BD0241"/>
    <w:rsid w:val="00BD046B"/>
    <w:rsid w:val="00BD10AA"/>
    <w:rsid w:val="00BD1F27"/>
    <w:rsid w:val="00BD28A6"/>
    <w:rsid w:val="00BD2B80"/>
    <w:rsid w:val="00BD3704"/>
    <w:rsid w:val="00BD374C"/>
    <w:rsid w:val="00BD3798"/>
    <w:rsid w:val="00BD4CBE"/>
    <w:rsid w:val="00BD5321"/>
    <w:rsid w:val="00BD572C"/>
    <w:rsid w:val="00BD5AC4"/>
    <w:rsid w:val="00BD5C33"/>
    <w:rsid w:val="00BD7011"/>
    <w:rsid w:val="00BE0B14"/>
    <w:rsid w:val="00BE0D5F"/>
    <w:rsid w:val="00BE1286"/>
    <w:rsid w:val="00BE17ED"/>
    <w:rsid w:val="00BE2558"/>
    <w:rsid w:val="00BE2847"/>
    <w:rsid w:val="00BE292D"/>
    <w:rsid w:val="00BE3246"/>
    <w:rsid w:val="00BE32C7"/>
    <w:rsid w:val="00BE4B8A"/>
    <w:rsid w:val="00BE4B99"/>
    <w:rsid w:val="00BE5218"/>
    <w:rsid w:val="00BE7595"/>
    <w:rsid w:val="00BE765B"/>
    <w:rsid w:val="00BF0EE1"/>
    <w:rsid w:val="00BF14F2"/>
    <w:rsid w:val="00BF17FC"/>
    <w:rsid w:val="00BF2AB5"/>
    <w:rsid w:val="00BF4658"/>
    <w:rsid w:val="00BF4A7D"/>
    <w:rsid w:val="00BF4B05"/>
    <w:rsid w:val="00BF51EC"/>
    <w:rsid w:val="00BF53A9"/>
    <w:rsid w:val="00BF5B58"/>
    <w:rsid w:val="00BF5C28"/>
    <w:rsid w:val="00BF66EC"/>
    <w:rsid w:val="00BF67F0"/>
    <w:rsid w:val="00C00595"/>
    <w:rsid w:val="00C0073F"/>
    <w:rsid w:val="00C0225E"/>
    <w:rsid w:val="00C0237B"/>
    <w:rsid w:val="00C02884"/>
    <w:rsid w:val="00C02B1B"/>
    <w:rsid w:val="00C03E98"/>
    <w:rsid w:val="00C04B0C"/>
    <w:rsid w:val="00C072B2"/>
    <w:rsid w:val="00C077AB"/>
    <w:rsid w:val="00C07ABF"/>
    <w:rsid w:val="00C07E57"/>
    <w:rsid w:val="00C105BE"/>
    <w:rsid w:val="00C107DE"/>
    <w:rsid w:val="00C1116D"/>
    <w:rsid w:val="00C11320"/>
    <w:rsid w:val="00C11387"/>
    <w:rsid w:val="00C12365"/>
    <w:rsid w:val="00C12557"/>
    <w:rsid w:val="00C12AAF"/>
    <w:rsid w:val="00C1300A"/>
    <w:rsid w:val="00C1335D"/>
    <w:rsid w:val="00C136F9"/>
    <w:rsid w:val="00C1406B"/>
    <w:rsid w:val="00C144A6"/>
    <w:rsid w:val="00C14A1F"/>
    <w:rsid w:val="00C14FA2"/>
    <w:rsid w:val="00C15285"/>
    <w:rsid w:val="00C1549C"/>
    <w:rsid w:val="00C1594B"/>
    <w:rsid w:val="00C159B3"/>
    <w:rsid w:val="00C15A40"/>
    <w:rsid w:val="00C1636C"/>
    <w:rsid w:val="00C1702A"/>
    <w:rsid w:val="00C170A2"/>
    <w:rsid w:val="00C17893"/>
    <w:rsid w:val="00C203D2"/>
    <w:rsid w:val="00C20843"/>
    <w:rsid w:val="00C20950"/>
    <w:rsid w:val="00C21BEE"/>
    <w:rsid w:val="00C231E4"/>
    <w:rsid w:val="00C23E50"/>
    <w:rsid w:val="00C24AAC"/>
    <w:rsid w:val="00C25966"/>
    <w:rsid w:val="00C26661"/>
    <w:rsid w:val="00C26836"/>
    <w:rsid w:val="00C26D46"/>
    <w:rsid w:val="00C30693"/>
    <w:rsid w:val="00C30AA4"/>
    <w:rsid w:val="00C311EC"/>
    <w:rsid w:val="00C3139A"/>
    <w:rsid w:val="00C322B1"/>
    <w:rsid w:val="00C3453A"/>
    <w:rsid w:val="00C349CB"/>
    <w:rsid w:val="00C35175"/>
    <w:rsid w:val="00C354BD"/>
    <w:rsid w:val="00C35E65"/>
    <w:rsid w:val="00C36247"/>
    <w:rsid w:val="00C3787A"/>
    <w:rsid w:val="00C41F7B"/>
    <w:rsid w:val="00C4328C"/>
    <w:rsid w:val="00C43AEA"/>
    <w:rsid w:val="00C44312"/>
    <w:rsid w:val="00C4449A"/>
    <w:rsid w:val="00C46820"/>
    <w:rsid w:val="00C46A16"/>
    <w:rsid w:val="00C47FC3"/>
    <w:rsid w:val="00C500FF"/>
    <w:rsid w:val="00C5075D"/>
    <w:rsid w:val="00C517EE"/>
    <w:rsid w:val="00C51D9F"/>
    <w:rsid w:val="00C52851"/>
    <w:rsid w:val="00C528EF"/>
    <w:rsid w:val="00C53042"/>
    <w:rsid w:val="00C531E1"/>
    <w:rsid w:val="00C5388F"/>
    <w:rsid w:val="00C53B9A"/>
    <w:rsid w:val="00C542D7"/>
    <w:rsid w:val="00C54C38"/>
    <w:rsid w:val="00C54F01"/>
    <w:rsid w:val="00C55A18"/>
    <w:rsid w:val="00C55BA7"/>
    <w:rsid w:val="00C55F68"/>
    <w:rsid w:val="00C56F7F"/>
    <w:rsid w:val="00C572BB"/>
    <w:rsid w:val="00C57338"/>
    <w:rsid w:val="00C57ADD"/>
    <w:rsid w:val="00C60A8C"/>
    <w:rsid w:val="00C6230F"/>
    <w:rsid w:val="00C63677"/>
    <w:rsid w:val="00C651B8"/>
    <w:rsid w:val="00C657D9"/>
    <w:rsid w:val="00C65AA9"/>
    <w:rsid w:val="00C6779E"/>
    <w:rsid w:val="00C7253E"/>
    <w:rsid w:val="00C727F1"/>
    <w:rsid w:val="00C74202"/>
    <w:rsid w:val="00C74C5E"/>
    <w:rsid w:val="00C74F0A"/>
    <w:rsid w:val="00C76E35"/>
    <w:rsid w:val="00C778E5"/>
    <w:rsid w:val="00C80B24"/>
    <w:rsid w:val="00C81A78"/>
    <w:rsid w:val="00C81BB8"/>
    <w:rsid w:val="00C82D1E"/>
    <w:rsid w:val="00C8346B"/>
    <w:rsid w:val="00C8491D"/>
    <w:rsid w:val="00C85309"/>
    <w:rsid w:val="00C86AB8"/>
    <w:rsid w:val="00C86F8C"/>
    <w:rsid w:val="00C90FD7"/>
    <w:rsid w:val="00C91A7A"/>
    <w:rsid w:val="00C93DE4"/>
    <w:rsid w:val="00C941B1"/>
    <w:rsid w:val="00C94E4B"/>
    <w:rsid w:val="00C95318"/>
    <w:rsid w:val="00C953B4"/>
    <w:rsid w:val="00C9642B"/>
    <w:rsid w:val="00C96812"/>
    <w:rsid w:val="00C97A28"/>
    <w:rsid w:val="00CA07FB"/>
    <w:rsid w:val="00CA0806"/>
    <w:rsid w:val="00CA1B98"/>
    <w:rsid w:val="00CA1EF7"/>
    <w:rsid w:val="00CA2F12"/>
    <w:rsid w:val="00CA3144"/>
    <w:rsid w:val="00CA3253"/>
    <w:rsid w:val="00CA3A03"/>
    <w:rsid w:val="00CA48E7"/>
    <w:rsid w:val="00CA4F25"/>
    <w:rsid w:val="00CA4FBC"/>
    <w:rsid w:val="00CA5C2C"/>
    <w:rsid w:val="00CA652E"/>
    <w:rsid w:val="00CA77ED"/>
    <w:rsid w:val="00CB064A"/>
    <w:rsid w:val="00CB122E"/>
    <w:rsid w:val="00CB1897"/>
    <w:rsid w:val="00CB1EDC"/>
    <w:rsid w:val="00CB203E"/>
    <w:rsid w:val="00CB22BF"/>
    <w:rsid w:val="00CB4468"/>
    <w:rsid w:val="00CB499F"/>
    <w:rsid w:val="00CB4DC2"/>
    <w:rsid w:val="00CB52A2"/>
    <w:rsid w:val="00CB5D76"/>
    <w:rsid w:val="00CB5F8C"/>
    <w:rsid w:val="00CB6529"/>
    <w:rsid w:val="00CB699F"/>
    <w:rsid w:val="00CC0A91"/>
    <w:rsid w:val="00CC0A9F"/>
    <w:rsid w:val="00CC0B8B"/>
    <w:rsid w:val="00CC0ED4"/>
    <w:rsid w:val="00CC126C"/>
    <w:rsid w:val="00CC1686"/>
    <w:rsid w:val="00CC2201"/>
    <w:rsid w:val="00CC2742"/>
    <w:rsid w:val="00CC2E07"/>
    <w:rsid w:val="00CC2EDE"/>
    <w:rsid w:val="00CC44E1"/>
    <w:rsid w:val="00CC5E27"/>
    <w:rsid w:val="00CC5FE3"/>
    <w:rsid w:val="00CC6D22"/>
    <w:rsid w:val="00CD0475"/>
    <w:rsid w:val="00CD13D2"/>
    <w:rsid w:val="00CD187B"/>
    <w:rsid w:val="00CD1D50"/>
    <w:rsid w:val="00CD2229"/>
    <w:rsid w:val="00CD2489"/>
    <w:rsid w:val="00CD564B"/>
    <w:rsid w:val="00CD63E3"/>
    <w:rsid w:val="00CD640E"/>
    <w:rsid w:val="00CD77E8"/>
    <w:rsid w:val="00CD7932"/>
    <w:rsid w:val="00CE017C"/>
    <w:rsid w:val="00CE1879"/>
    <w:rsid w:val="00CE1B99"/>
    <w:rsid w:val="00CE1C34"/>
    <w:rsid w:val="00CE3550"/>
    <w:rsid w:val="00CE3F3E"/>
    <w:rsid w:val="00CE5067"/>
    <w:rsid w:val="00CF0847"/>
    <w:rsid w:val="00CF09D0"/>
    <w:rsid w:val="00CF0A65"/>
    <w:rsid w:val="00CF13B7"/>
    <w:rsid w:val="00CF1E4E"/>
    <w:rsid w:val="00CF2E12"/>
    <w:rsid w:val="00CF58DD"/>
    <w:rsid w:val="00CF5F8D"/>
    <w:rsid w:val="00CF621A"/>
    <w:rsid w:val="00CF68FE"/>
    <w:rsid w:val="00D00BFB"/>
    <w:rsid w:val="00D02A1B"/>
    <w:rsid w:val="00D03A41"/>
    <w:rsid w:val="00D03AE6"/>
    <w:rsid w:val="00D04A3C"/>
    <w:rsid w:val="00D04BAD"/>
    <w:rsid w:val="00D04D50"/>
    <w:rsid w:val="00D04E6C"/>
    <w:rsid w:val="00D05088"/>
    <w:rsid w:val="00D055DE"/>
    <w:rsid w:val="00D05F20"/>
    <w:rsid w:val="00D06259"/>
    <w:rsid w:val="00D064EC"/>
    <w:rsid w:val="00D06B51"/>
    <w:rsid w:val="00D07917"/>
    <w:rsid w:val="00D1215D"/>
    <w:rsid w:val="00D12D61"/>
    <w:rsid w:val="00D14262"/>
    <w:rsid w:val="00D145FF"/>
    <w:rsid w:val="00D147C0"/>
    <w:rsid w:val="00D15384"/>
    <w:rsid w:val="00D15DD2"/>
    <w:rsid w:val="00D15F6C"/>
    <w:rsid w:val="00D16B80"/>
    <w:rsid w:val="00D16E7A"/>
    <w:rsid w:val="00D170E4"/>
    <w:rsid w:val="00D17389"/>
    <w:rsid w:val="00D1796F"/>
    <w:rsid w:val="00D17992"/>
    <w:rsid w:val="00D2088F"/>
    <w:rsid w:val="00D20917"/>
    <w:rsid w:val="00D20E4D"/>
    <w:rsid w:val="00D21BD5"/>
    <w:rsid w:val="00D22098"/>
    <w:rsid w:val="00D22F19"/>
    <w:rsid w:val="00D22F2E"/>
    <w:rsid w:val="00D2326C"/>
    <w:rsid w:val="00D246A4"/>
    <w:rsid w:val="00D24E00"/>
    <w:rsid w:val="00D25289"/>
    <w:rsid w:val="00D31A87"/>
    <w:rsid w:val="00D31D8B"/>
    <w:rsid w:val="00D3209A"/>
    <w:rsid w:val="00D3223C"/>
    <w:rsid w:val="00D33450"/>
    <w:rsid w:val="00D34839"/>
    <w:rsid w:val="00D348C8"/>
    <w:rsid w:val="00D35B04"/>
    <w:rsid w:val="00D36B50"/>
    <w:rsid w:val="00D378FD"/>
    <w:rsid w:val="00D4061D"/>
    <w:rsid w:val="00D40651"/>
    <w:rsid w:val="00D41936"/>
    <w:rsid w:val="00D42AD6"/>
    <w:rsid w:val="00D438FF"/>
    <w:rsid w:val="00D43987"/>
    <w:rsid w:val="00D43A1A"/>
    <w:rsid w:val="00D446D9"/>
    <w:rsid w:val="00D44821"/>
    <w:rsid w:val="00D452A6"/>
    <w:rsid w:val="00D45C07"/>
    <w:rsid w:val="00D462B7"/>
    <w:rsid w:val="00D471A8"/>
    <w:rsid w:val="00D47C61"/>
    <w:rsid w:val="00D5012C"/>
    <w:rsid w:val="00D51AD3"/>
    <w:rsid w:val="00D51FFF"/>
    <w:rsid w:val="00D52394"/>
    <w:rsid w:val="00D52B0F"/>
    <w:rsid w:val="00D52C2F"/>
    <w:rsid w:val="00D5305B"/>
    <w:rsid w:val="00D542EC"/>
    <w:rsid w:val="00D54BA4"/>
    <w:rsid w:val="00D55871"/>
    <w:rsid w:val="00D56291"/>
    <w:rsid w:val="00D56923"/>
    <w:rsid w:val="00D5737A"/>
    <w:rsid w:val="00D57D6E"/>
    <w:rsid w:val="00D60875"/>
    <w:rsid w:val="00D60EF8"/>
    <w:rsid w:val="00D6165C"/>
    <w:rsid w:val="00D618CC"/>
    <w:rsid w:val="00D62511"/>
    <w:rsid w:val="00D625B5"/>
    <w:rsid w:val="00D635E7"/>
    <w:rsid w:val="00D65BFC"/>
    <w:rsid w:val="00D65E73"/>
    <w:rsid w:val="00D65FE2"/>
    <w:rsid w:val="00D6682F"/>
    <w:rsid w:val="00D67A94"/>
    <w:rsid w:val="00D72707"/>
    <w:rsid w:val="00D7709D"/>
    <w:rsid w:val="00D77EDA"/>
    <w:rsid w:val="00D801A4"/>
    <w:rsid w:val="00D80F3D"/>
    <w:rsid w:val="00D81541"/>
    <w:rsid w:val="00D81803"/>
    <w:rsid w:val="00D820A9"/>
    <w:rsid w:val="00D821DA"/>
    <w:rsid w:val="00D821F4"/>
    <w:rsid w:val="00D82A1A"/>
    <w:rsid w:val="00D834A3"/>
    <w:rsid w:val="00D83CF2"/>
    <w:rsid w:val="00D8472E"/>
    <w:rsid w:val="00D847E8"/>
    <w:rsid w:val="00D85365"/>
    <w:rsid w:val="00D85A42"/>
    <w:rsid w:val="00D873C3"/>
    <w:rsid w:val="00D87A83"/>
    <w:rsid w:val="00D90991"/>
    <w:rsid w:val="00D925E7"/>
    <w:rsid w:val="00D92987"/>
    <w:rsid w:val="00D92BFA"/>
    <w:rsid w:val="00D92DC7"/>
    <w:rsid w:val="00D92E78"/>
    <w:rsid w:val="00D936F9"/>
    <w:rsid w:val="00D9419D"/>
    <w:rsid w:val="00D948F4"/>
    <w:rsid w:val="00D94D46"/>
    <w:rsid w:val="00D95223"/>
    <w:rsid w:val="00D95C0D"/>
    <w:rsid w:val="00D96923"/>
    <w:rsid w:val="00D97465"/>
    <w:rsid w:val="00DA08EA"/>
    <w:rsid w:val="00DA0CE6"/>
    <w:rsid w:val="00DA21ED"/>
    <w:rsid w:val="00DA33EA"/>
    <w:rsid w:val="00DA341E"/>
    <w:rsid w:val="00DA347F"/>
    <w:rsid w:val="00DA3D73"/>
    <w:rsid w:val="00DA54C4"/>
    <w:rsid w:val="00DA71D7"/>
    <w:rsid w:val="00DA74F6"/>
    <w:rsid w:val="00DB0372"/>
    <w:rsid w:val="00DB18EE"/>
    <w:rsid w:val="00DB30B6"/>
    <w:rsid w:val="00DB35EB"/>
    <w:rsid w:val="00DB3E52"/>
    <w:rsid w:val="00DB4294"/>
    <w:rsid w:val="00DB4479"/>
    <w:rsid w:val="00DB524A"/>
    <w:rsid w:val="00DB6C39"/>
    <w:rsid w:val="00DB708F"/>
    <w:rsid w:val="00DB757D"/>
    <w:rsid w:val="00DB77BB"/>
    <w:rsid w:val="00DC0502"/>
    <w:rsid w:val="00DC1019"/>
    <w:rsid w:val="00DC13E2"/>
    <w:rsid w:val="00DC1810"/>
    <w:rsid w:val="00DC21E6"/>
    <w:rsid w:val="00DC2416"/>
    <w:rsid w:val="00DC3120"/>
    <w:rsid w:val="00DC3F1A"/>
    <w:rsid w:val="00DC48A7"/>
    <w:rsid w:val="00DC4A78"/>
    <w:rsid w:val="00DC5217"/>
    <w:rsid w:val="00DC6BBF"/>
    <w:rsid w:val="00DC74C3"/>
    <w:rsid w:val="00DD00D9"/>
    <w:rsid w:val="00DD0263"/>
    <w:rsid w:val="00DD1A54"/>
    <w:rsid w:val="00DD32AE"/>
    <w:rsid w:val="00DD37FC"/>
    <w:rsid w:val="00DD3BCB"/>
    <w:rsid w:val="00DD3C31"/>
    <w:rsid w:val="00DD414C"/>
    <w:rsid w:val="00DD5A95"/>
    <w:rsid w:val="00DD6EBC"/>
    <w:rsid w:val="00DD6ED4"/>
    <w:rsid w:val="00DD719D"/>
    <w:rsid w:val="00DD7718"/>
    <w:rsid w:val="00DD7C14"/>
    <w:rsid w:val="00DD7D8F"/>
    <w:rsid w:val="00DD7E12"/>
    <w:rsid w:val="00DE2524"/>
    <w:rsid w:val="00DE2ECF"/>
    <w:rsid w:val="00DE4119"/>
    <w:rsid w:val="00DE459B"/>
    <w:rsid w:val="00DE4D33"/>
    <w:rsid w:val="00DE5640"/>
    <w:rsid w:val="00DE5C3C"/>
    <w:rsid w:val="00DE5D72"/>
    <w:rsid w:val="00DE629C"/>
    <w:rsid w:val="00DE733B"/>
    <w:rsid w:val="00DF0577"/>
    <w:rsid w:val="00DF06FF"/>
    <w:rsid w:val="00DF11A0"/>
    <w:rsid w:val="00DF1717"/>
    <w:rsid w:val="00DF1D10"/>
    <w:rsid w:val="00DF1EF0"/>
    <w:rsid w:val="00DF2128"/>
    <w:rsid w:val="00DF25E6"/>
    <w:rsid w:val="00DF2E72"/>
    <w:rsid w:val="00DF2F6A"/>
    <w:rsid w:val="00DF3087"/>
    <w:rsid w:val="00DF3B11"/>
    <w:rsid w:val="00DF3D78"/>
    <w:rsid w:val="00DF4428"/>
    <w:rsid w:val="00DF4523"/>
    <w:rsid w:val="00DF4B70"/>
    <w:rsid w:val="00DF6130"/>
    <w:rsid w:val="00DF6EF9"/>
    <w:rsid w:val="00DF775A"/>
    <w:rsid w:val="00DF7CA2"/>
    <w:rsid w:val="00E00155"/>
    <w:rsid w:val="00E0125E"/>
    <w:rsid w:val="00E01E83"/>
    <w:rsid w:val="00E03CC0"/>
    <w:rsid w:val="00E05E94"/>
    <w:rsid w:val="00E06927"/>
    <w:rsid w:val="00E108A2"/>
    <w:rsid w:val="00E11ADC"/>
    <w:rsid w:val="00E12E7A"/>
    <w:rsid w:val="00E1320D"/>
    <w:rsid w:val="00E14282"/>
    <w:rsid w:val="00E15885"/>
    <w:rsid w:val="00E168CE"/>
    <w:rsid w:val="00E16EF1"/>
    <w:rsid w:val="00E17905"/>
    <w:rsid w:val="00E21E0E"/>
    <w:rsid w:val="00E232FA"/>
    <w:rsid w:val="00E24160"/>
    <w:rsid w:val="00E241CB"/>
    <w:rsid w:val="00E24617"/>
    <w:rsid w:val="00E24B21"/>
    <w:rsid w:val="00E24B5D"/>
    <w:rsid w:val="00E25B3C"/>
    <w:rsid w:val="00E25CEA"/>
    <w:rsid w:val="00E25D82"/>
    <w:rsid w:val="00E2628B"/>
    <w:rsid w:val="00E2772D"/>
    <w:rsid w:val="00E278D6"/>
    <w:rsid w:val="00E279CF"/>
    <w:rsid w:val="00E324B3"/>
    <w:rsid w:val="00E32A68"/>
    <w:rsid w:val="00E34662"/>
    <w:rsid w:val="00E36519"/>
    <w:rsid w:val="00E36A2D"/>
    <w:rsid w:val="00E36ABA"/>
    <w:rsid w:val="00E402EF"/>
    <w:rsid w:val="00E4036B"/>
    <w:rsid w:val="00E40C1E"/>
    <w:rsid w:val="00E40FC9"/>
    <w:rsid w:val="00E419A7"/>
    <w:rsid w:val="00E41A91"/>
    <w:rsid w:val="00E41D05"/>
    <w:rsid w:val="00E42C37"/>
    <w:rsid w:val="00E42F9C"/>
    <w:rsid w:val="00E43707"/>
    <w:rsid w:val="00E43C58"/>
    <w:rsid w:val="00E43F12"/>
    <w:rsid w:val="00E4582A"/>
    <w:rsid w:val="00E45DC9"/>
    <w:rsid w:val="00E4613D"/>
    <w:rsid w:val="00E465EA"/>
    <w:rsid w:val="00E47902"/>
    <w:rsid w:val="00E50045"/>
    <w:rsid w:val="00E50892"/>
    <w:rsid w:val="00E52360"/>
    <w:rsid w:val="00E523ED"/>
    <w:rsid w:val="00E52F18"/>
    <w:rsid w:val="00E53B05"/>
    <w:rsid w:val="00E53EB1"/>
    <w:rsid w:val="00E53F99"/>
    <w:rsid w:val="00E548E0"/>
    <w:rsid w:val="00E54B5F"/>
    <w:rsid w:val="00E56835"/>
    <w:rsid w:val="00E56AAF"/>
    <w:rsid w:val="00E57EC4"/>
    <w:rsid w:val="00E62382"/>
    <w:rsid w:val="00E635DD"/>
    <w:rsid w:val="00E639F0"/>
    <w:rsid w:val="00E63C07"/>
    <w:rsid w:val="00E65C8A"/>
    <w:rsid w:val="00E66749"/>
    <w:rsid w:val="00E70415"/>
    <w:rsid w:val="00E71224"/>
    <w:rsid w:val="00E7315E"/>
    <w:rsid w:val="00E73351"/>
    <w:rsid w:val="00E738AB"/>
    <w:rsid w:val="00E7393C"/>
    <w:rsid w:val="00E73A2C"/>
    <w:rsid w:val="00E74AB4"/>
    <w:rsid w:val="00E7527D"/>
    <w:rsid w:val="00E75325"/>
    <w:rsid w:val="00E7576E"/>
    <w:rsid w:val="00E75ED5"/>
    <w:rsid w:val="00E75F32"/>
    <w:rsid w:val="00E768C9"/>
    <w:rsid w:val="00E76FA4"/>
    <w:rsid w:val="00E80175"/>
    <w:rsid w:val="00E8108E"/>
    <w:rsid w:val="00E81F01"/>
    <w:rsid w:val="00E83936"/>
    <w:rsid w:val="00E859D0"/>
    <w:rsid w:val="00E87626"/>
    <w:rsid w:val="00E91505"/>
    <w:rsid w:val="00E923B5"/>
    <w:rsid w:val="00E92661"/>
    <w:rsid w:val="00E92785"/>
    <w:rsid w:val="00E92A55"/>
    <w:rsid w:val="00E9550D"/>
    <w:rsid w:val="00E95B32"/>
    <w:rsid w:val="00E96782"/>
    <w:rsid w:val="00E96A39"/>
    <w:rsid w:val="00E96CBC"/>
    <w:rsid w:val="00E96D3F"/>
    <w:rsid w:val="00E97993"/>
    <w:rsid w:val="00E97FED"/>
    <w:rsid w:val="00EA040E"/>
    <w:rsid w:val="00EA12A6"/>
    <w:rsid w:val="00EA3719"/>
    <w:rsid w:val="00EA3742"/>
    <w:rsid w:val="00EA375F"/>
    <w:rsid w:val="00EA4244"/>
    <w:rsid w:val="00EA46C2"/>
    <w:rsid w:val="00EA559B"/>
    <w:rsid w:val="00EA6209"/>
    <w:rsid w:val="00EA64CB"/>
    <w:rsid w:val="00EA6D5E"/>
    <w:rsid w:val="00EB0825"/>
    <w:rsid w:val="00EB0BCB"/>
    <w:rsid w:val="00EB2B84"/>
    <w:rsid w:val="00EB3A07"/>
    <w:rsid w:val="00EB3C78"/>
    <w:rsid w:val="00EB45C8"/>
    <w:rsid w:val="00EB4F62"/>
    <w:rsid w:val="00EB5D84"/>
    <w:rsid w:val="00EB6F2E"/>
    <w:rsid w:val="00EB7AE5"/>
    <w:rsid w:val="00EB7EB2"/>
    <w:rsid w:val="00EC0B00"/>
    <w:rsid w:val="00EC0BCB"/>
    <w:rsid w:val="00EC0C39"/>
    <w:rsid w:val="00EC0F27"/>
    <w:rsid w:val="00EC2729"/>
    <w:rsid w:val="00EC30D0"/>
    <w:rsid w:val="00EC3D49"/>
    <w:rsid w:val="00EC4DDF"/>
    <w:rsid w:val="00EC74EB"/>
    <w:rsid w:val="00EC7825"/>
    <w:rsid w:val="00EC7866"/>
    <w:rsid w:val="00ED0A82"/>
    <w:rsid w:val="00ED180A"/>
    <w:rsid w:val="00ED285D"/>
    <w:rsid w:val="00ED2FC1"/>
    <w:rsid w:val="00ED3066"/>
    <w:rsid w:val="00ED38A3"/>
    <w:rsid w:val="00ED43E7"/>
    <w:rsid w:val="00ED4A46"/>
    <w:rsid w:val="00ED4B1C"/>
    <w:rsid w:val="00ED4B2F"/>
    <w:rsid w:val="00ED4D2A"/>
    <w:rsid w:val="00ED5441"/>
    <w:rsid w:val="00ED6C28"/>
    <w:rsid w:val="00EE01CA"/>
    <w:rsid w:val="00EE07BE"/>
    <w:rsid w:val="00EE13A0"/>
    <w:rsid w:val="00EE1438"/>
    <w:rsid w:val="00EE1EC4"/>
    <w:rsid w:val="00EE3741"/>
    <w:rsid w:val="00EE37C3"/>
    <w:rsid w:val="00EE38BE"/>
    <w:rsid w:val="00EE6072"/>
    <w:rsid w:val="00EE626B"/>
    <w:rsid w:val="00EE7014"/>
    <w:rsid w:val="00EE7969"/>
    <w:rsid w:val="00EE7EDD"/>
    <w:rsid w:val="00EF23CE"/>
    <w:rsid w:val="00EF2B11"/>
    <w:rsid w:val="00EF2BF0"/>
    <w:rsid w:val="00EF31F8"/>
    <w:rsid w:val="00EF33F3"/>
    <w:rsid w:val="00EF5431"/>
    <w:rsid w:val="00EF6741"/>
    <w:rsid w:val="00EF7C3F"/>
    <w:rsid w:val="00F0069D"/>
    <w:rsid w:val="00F01DA6"/>
    <w:rsid w:val="00F02A00"/>
    <w:rsid w:val="00F03ADE"/>
    <w:rsid w:val="00F04279"/>
    <w:rsid w:val="00F06A6E"/>
    <w:rsid w:val="00F11A9E"/>
    <w:rsid w:val="00F12690"/>
    <w:rsid w:val="00F1311E"/>
    <w:rsid w:val="00F13E9F"/>
    <w:rsid w:val="00F1423C"/>
    <w:rsid w:val="00F14372"/>
    <w:rsid w:val="00F143C7"/>
    <w:rsid w:val="00F14819"/>
    <w:rsid w:val="00F1617B"/>
    <w:rsid w:val="00F17C6E"/>
    <w:rsid w:val="00F2281F"/>
    <w:rsid w:val="00F247B1"/>
    <w:rsid w:val="00F25794"/>
    <w:rsid w:val="00F258FC"/>
    <w:rsid w:val="00F25C84"/>
    <w:rsid w:val="00F260D8"/>
    <w:rsid w:val="00F277E5"/>
    <w:rsid w:val="00F30D3E"/>
    <w:rsid w:val="00F312FC"/>
    <w:rsid w:val="00F31E66"/>
    <w:rsid w:val="00F320AA"/>
    <w:rsid w:val="00F323F6"/>
    <w:rsid w:val="00F33339"/>
    <w:rsid w:val="00F3356C"/>
    <w:rsid w:val="00F33C06"/>
    <w:rsid w:val="00F33FF6"/>
    <w:rsid w:val="00F3434F"/>
    <w:rsid w:val="00F34734"/>
    <w:rsid w:val="00F34CB6"/>
    <w:rsid w:val="00F35097"/>
    <w:rsid w:val="00F353D5"/>
    <w:rsid w:val="00F35665"/>
    <w:rsid w:val="00F358AF"/>
    <w:rsid w:val="00F3596F"/>
    <w:rsid w:val="00F363F0"/>
    <w:rsid w:val="00F37DC2"/>
    <w:rsid w:val="00F400B0"/>
    <w:rsid w:val="00F41510"/>
    <w:rsid w:val="00F43528"/>
    <w:rsid w:val="00F44AE4"/>
    <w:rsid w:val="00F4645E"/>
    <w:rsid w:val="00F46F02"/>
    <w:rsid w:val="00F46FEB"/>
    <w:rsid w:val="00F479CF"/>
    <w:rsid w:val="00F47A07"/>
    <w:rsid w:val="00F47AE3"/>
    <w:rsid w:val="00F47DD5"/>
    <w:rsid w:val="00F47EE3"/>
    <w:rsid w:val="00F502BA"/>
    <w:rsid w:val="00F50FEB"/>
    <w:rsid w:val="00F5167C"/>
    <w:rsid w:val="00F51B06"/>
    <w:rsid w:val="00F53123"/>
    <w:rsid w:val="00F56D65"/>
    <w:rsid w:val="00F60B7A"/>
    <w:rsid w:val="00F61649"/>
    <w:rsid w:val="00F61BAC"/>
    <w:rsid w:val="00F6225D"/>
    <w:rsid w:val="00F62402"/>
    <w:rsid w:val="00F62681"/>
    <w:rsid w:val="00F63055"/>
    <w:rsid w:val="00F632F3"/>
    <w:rsid w:val="00F64241"/>
    <w:rsid w:val="00F64D7E"/>
    <w:rsid w:val="00F64E36"/>
    <w:rsid w:val="00F651B4"/>
    <w:rsid w:val="00F65837"/>
    <w:rsid w:val="00F661C7"/>
    <w:rsid w:val="00F66531"/>
    <w:rsid w:val="00F6760C"/>
    <w:rsid w:val="00F67A60"/>
    <w:rsid w:val="00F70463"/>
    <w:rsid w:val="00F70AEA"/>
    <w:rsid w:val="00F70C5E"/>
    <w:rsid w:val="00F70D0D"/>
    <w:rsid w:val="00F7144A"/>
    <w:rsid w:val="00F7165E"/>
    <w:rsid w:val="00F71ED6"/>
    <w:rsid w:val="00F7340D"/>
    <w:rsid w:val="00F742D8"/>
    <w:rsid w:val="00F7573B"/>
    <w:rsid w:val="00F77488"/>
    <w:rsid w:val="00F81AF2"/>
    <w:rsid w:val="00F82551"/>
    <w:rsid w:val="00F8259C"/>
    <w:rsid w:val="00F82E6C"/>
    <w:rsid w:val="00F841BA"/>
    <w:rsid w:val="00F855A8"/>
    <w:rsid w:val="00F859BF"/>
    <w:rsid w:val="00F87813"/>
    <w:rsid w:val="00F87865"/>
    <w:rsid w:val="00F9158C"/>
    <w:rsid w:val="00F91A2B"/>
    <w:rsid w:val="00F9225E"/>
    <w:rsid w:val="00F925B0"/>
    <w:rsid w:val="00F93E0C"/>
    <w:rsid w:val="00F93F3D"/>
    <w:rsid w:val="00F93FC6"/>
    <w:rsid w:val="00F941EF"/>
    <w:rsid w:val="00F9438F"/>
    <w:rsid w:val="00F945B9"/>
    <w:rsid w:val="00F94B8D"/>
    <w:rsid w:val="00F95879"/>
    <w:rsid w:val="00F96CED"/>
    <w:rsid w:val="00F977A8"/>
    <w:rsid w:val="00FA000D"/>
    <w:rsid w:val="00FA1347"/>
    <w:rsid w:val="00FA1D61"/>
    <w:rsid w:val="00FA28B8"/>
    <w:rsid w:val="00FA40DE"/>
    <w:rsid w:val="00FA48AB"/>
    <w:rsid w:val="00FA584F"/>
    <w:rsid w:val="00FA66FD"/>
    <w:rsid w:val="00FB1109"/>
    <w:rsid w:val="00FB2F4F"/>
    <w:rsid w:val="00FB5B5D"/>
    <w:rsid w:val="00FB7418"/>
    <w:rsid w:val="00FB75D6"/>
    <w:rsid w:val="00FC2DD1"/>
    <w:rsid w:val="00FC39CA"/>
    <w:rsid w:val="00FC508E"/>
    <w:rsid w:val="00FC51AD"/>
    <w:rsid w:val="00FC588D"/>
    <w:rsid w:val="00FC76CB"/>
    <w:rsid w:val="00FC76F5"/>
    <w:rsid w:val="00FD0456"/>
    <w:rsid w:val="00FD10AC"/>
    <w:rsid w:val="00FD2A48"/>
    <w:rsid w:val="00FD2A64"/>
    <w:rsid w:val="00FD2FF8"/>
    <w:rsid w:val="00FD3F05"/>
    <w:rsid w:val="00FD45D3"/>
    <w:rsid w:val="00FD57D4"/>
    <w:rsid w:val="00FD5CFB"/>
    <w:rsid w:val="00FD5D90"/>
    <w:rsid w:val="00FD689A"/>
    <w:rsid w:val="00FD701F"/>
    <w:rsid w:val="00FD7042"/>
    <w:rsid w:val="00FE153F"/>
    <w:rsid w:val="00FE1758"/>
    <w:rsid w:val="00FE2651"/>
    <w:rsid w:val="00FE26B6"/>
    <w:rsid w:val="00FE2D2B"/>
    <w:rsid w:val="00FE3C95"/>
    <w:rsid w:val="00FE40B1"/>
    <w:rsid w:val="00FE4382"/>
    <w:rsid w:val="00FE44D1"/>
    <w:rsid w:val="00FE4E2D"/>
    <w:rsid w:val="00FE4F3C"/>
    <w:rsid w:val="00FE54F0"/>
    <w:rsid w:val="00FE57FC"/>
    <w:rsid w:val="00FE7D30"/>
    <w:rsid w:val="00FE7DC4"/>
    <w:rsid w:val="00FF0390"/>
    <w:rsid w:val="00FF08AB"/>
    <w:rsid w:val="00FF0B99"/>
    <w:rsid w:val="00FF11EF"/>
    <w:rsid w:val="00FF230E"/>
    <w:rsid w:val="00FF2C83"/>
    <w:rsid w:val="00FF3E30"/>
    <w:rsid w:val="00FF4C19"/>
    <w:rsid w:val="00FF4FB4"/>
    <w:rsid w:val="00FF54E6"/>
    <w:rsid w:val="00FF6A2D"/>
    <w:rsid w:val="00FF6F7C"/>
    <w:rsid w:val="00FF70A0"/>
    <w:rsid w:val="00FF792D"/>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3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3E"/>
  </w:style>
  <w:style w:type="paragraph" w:styleId="Heading1">
    <w:name w:val="heading 1"/>
    <w:basedOn w:val="Normal"/>
    <w:next w:val="Normal"/>
    <w:link w:val="Heading1Char"/>
    <w:uiPriority w:val="9"/>
    <w:qFormat/>
    <w:rsid w:val="00A91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4B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4A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569"/>
    <w:pPr>
      <w:ind w:left="720"/>
      <w:contextualSpacing/>
    </w:pPr>
  </w:style>
  <w:style w:type="paragraph" w:styleId="FootnoteText">
    <w:name w:val="footnote text"/>
    <w:basedOn w:val="Normal"/>
    <w:link w:val="FootnoteTextChar"/>
    <w:uiPriority w:val="99"/>
    <w:unhideWhenUsed/>
    <w:rsid w:val="00BD572C"/>
    <w:pPr>
      <w:spacing w:after="0"/>
    </w:pPr>
    <w:rPr>
      <w:szCs w:val="20"/>
    </w:rPr>
  </w:style>
  <w:style w:type="character" w:customStyle="1" w:styleId="FootnoteTextChar">
    <w:name w:val="Footnote Text Char"/>
    <w:basedOn w:val="DefaultParagraphFont"/>
    <w:link w:val="FootnoteText"/>
    <w:uiPriority w:val="99"/>
    <w:rsid w:val="00BD572C"/>
    <w:rPr>
      <w:szCs w:val="20"/>
    </w:rPr>
  </w:style>
  <w:style w:type="character" w:styleId="FootnoteReference">
    <w:name w:val="footnote reference"/>
    <w:basedOn w:val="DefaultParagraphFont"/>
    <w:uiPriority w:val="99"/>
    <w:semiHidden/>
    <w:unhideWhenUsed/>
    <w:rsid w:val="00BD572C"/>
    <w:rPr>
      <w:vertAlign w:val="superscript"/>
    </w:rPr>
  </w:style>
  <w:style w:type="table" w:styleId="TableGrid">
    <w:name w:val="Table Grid"/>
    <w:basedOn w:val="TableNormal"/>
    <w:uiPriority w:val="59"/>
    <w:rsid w:val="00EE14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470ED2"/>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
    <w:name w:val="a"/>
    <w:basedOn w:val="DefaultParagraphFont"/>
    <w:rsid w:val="00292334"/>
  </w:style>
  <w:style w:type="character" w:customStyle="1" w:styleId="l7">
    <w:name w:val="l7"/>
    <w:basedOn w:val="DefaultParagraphFont"/>
    <w:rsid w:val="00D05088"/>
  </w:style>
  <w:style w:type="character" w:styleId="Hyperlink">
    <w:name w:val="Hyperlink"/>
    <w:basedOn w:val="DefaultParagraphFont"/>
    <w:uiPriority w:val="99"/>
    <w:unhideWhenUsed/>
    <w:rsid w:val="00D15384"/>
    <w:rPr>
      <w:color w:val="0000FF" w:themeColor="hyperlink"/>
      <w:u w:val="single"/>
    </w:rPr>
  </w:style>
  <w:style w:type="paragraph" w:styleId="Header">
    <w:name w:val="header"/>
    <w:basedOn w:val="Normal"/>
    <w:link w:val="HeaderChar"/>
    <w:uiPriority w:val="99"/>
    <w:unhideWhenUsed/>
    <w:rsid w:val="00FD689A"/>
    <w:pPr>
      <w:tabs>
        <w:tab w:val="center" w:pos="4680"/>
        <w:tab w:val="right" w:pos="9360"/>
      </w:tabs>
      <w:spacing w:after="0"/>
    </w:pPr>
  </w:style>
  <w:style w:type="character" w:customStyle="1" w:styleId="HeaderChar">
    <w:name w:val="Header Char"/>
    <w:basedOn w:val="DefaultParagraphFont"/>
    <w:link w:val="Header"/>
    <w:uiPriority w:val="99"/>
    <w:rsid w:val="00FD689A"/>
  </w:style>
  <w:style w:type="paragraph" w:styleId="Footer">
    <w:name w:val="footer"/>
    <w:basedOn w:val="Normal"/>
    <w:link w:val="FooterChar"/>
    <w:uiPriority w:val="99"/>
    <w:unhideWhenUsed/>
    <w:rsid w:val="00FD689A"/>
    <w:pPr>
      <w:tabs>
        <w:tab w:val="center" w:pos="4680"/>
        <w:tab w:val="right" w:pos="9360"/>
      </w:tabs>
      <w:spacing w:after="0"/>
    </w:pPr>
  </w:style>
  <w:style w:type="character" w:customStyle="1" w:styleId="FooterChar">
    <w:name w:val="Footer Char"/>
    <w:basedOn w:val="DefaultParagraphFont"/>
    <w:link w:val="Footer"/>
    <w:uiPriority w:val="99"/>
    <w:rsid w:val="00FD689A"/>
  </w:style>
  <w:style w:type="paragraph" w:styleId="BalloonText">
    <w:name w:val="Balloon Text"/>
    <w:basedOn w:val="Normal"/>
    <w:link w:val="BalloonTextChar"/>
    <w:uiPriority w:val="99"/>
    <w:semiHidden/>
    <w:unhideWhenUsed/>
    <w:rsid w:val="00FD68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89A"/>
    <w:rPr>
      <w:rFonts w:ascii="Tahoma" w:hAnsi="Tahoma" w:cs="Tahoma"/>
      <w:sz w:val="16"/>
      <w:szCs w:val="16"/>
    </w:rPr>
  </w:style>
  <w:style w:type="character" w:styleId="CommentReference">
    <w:name w:val="annotation reference"/>
    <w:basedOn w:val="DefaultParagraphFont"/>
    <w:uiPriority w:val="99"/>
    <w:semiHidden/>
    <w:unhideWhenUsed/>
    <w:rsid w:val="00815946"/>
    <w:rPr>
      <w:sz w:val="18"/>
      <w:szCs w:val="18"/>
    </w:rPr>
  </w:style>
  <w:style w:type="paragraph" w:styleId="CommentText">
    <w:name w:val="annotation text"/>
    <w:basedOn w:val="Normal"/>
    <w:link w:val="CommentTextChar"/>
    <w:uiPriority w:val="99"/>
    <w:unhideWhenUsed/>
    <w:rsid w:val="00815946"/>
    <w:rPr>
      <w:sz w:val="24"/>
      <w:szCs w:val="24"/>
    </w:rPr>
  </w:style>
  <w:style w:type="character" w:customStyle="1" w:styleId="CommentTextChar">
    <w:name w:val="Comment Text Char"/>
    <w:basedOn w:val="DefaultParagraphFont"/>
    <w:link w:val="CommentText"/>
    <w:uiPriority w:val="99"/>
    <w:rsid w:val="00815946"/>
    <w:rPr>
      <w:sz w:val="24"/>
      <w:szCs w:val="24"/>
    </w:rPr>
  </w:style>
  <w:style w:type="paragraph" w:styleId="CommentSubject">
    <w:name w:val="annotation subject"/>
    <w:basedOn w:val="CommentText"/>
    <w:next w:val="CommentText"/>
    <w:link w:val="CommentSubjectChar"/>
    <w:uiPriority w:val="99"/>
    <w:semiHidden/>
    <w:unhideWhenUsed/>
    <w:rsid w:val="00815946"/>
    <w:rPr>
      <w:b/>
      <w:bCs/>
      <w:sz w:val="20"/>
      <w:szCs w:val="20"/>
    </w:rPr>
  </w:style>
  <w:style w:type="character" w:customStyle="1" w:styleId="CommentSubjectChar">
    <w:name w:val="Comment Subject Char"/>
    <w:basedOn w:val="CommentTextChar"/>
    <w:link w:val="CommentSubject"/>
    <w:uiPriority w:val="99"/>
    <w:semiHidden/>
    <w:rsid w:val="00815946"/>
    <w:rPr>
      <w:b/>
      <w:bCs/>
      <w:sz w:val="24"/>
      <w:szCs w:val="20"/>
    </w:rPr>
  </w:style>
  <w:style w:type="table" w:customStyle="1" w:styleId="LightShading1">
    <w:name w:val="Light Shading1"/>
    <w:basedOn w:val="TableNormal"/>
    <w:uiPriority w:val="60"/>
    <w:rsid w:val="002664E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9128D"/>
    <w:rPr>
      <w:rFonts w:asciiTheme="majorHAnsi" w:eastAsiaTheme="majorEastAsia" w:hAnsiTheme="majorHAnsi" w:cstheme="majorBidi"/>
      <w:b/>
      <w:bCs/>
      <w:color w:val="365F91" w:themeColor="accent1" w:themeShade="BF"/>
      <w:sz w:val="28"/>
      <w:szCs w:val="28"/>
    </w:rPr>
  </w:style>
  <w:style w:type="table" w:customStyle="1" w:styleId="LightShading-Accent11">
    <w:name w:val="Light Shading - Accent 11"/>
    <w:basedOn w:val="TableNormal"/>
    <w:uiPriority w:val="60"/>
    <w:rsid w:val="00A25DEA"/>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124B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4B2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24B20"/>
    <w:pPr>
      <w:spacing w:line="276" w:lineRule="auto"/>
      <w:outlineLvl w:val="9"/>
    </w:pPr>
  </w:style>
  <w:style w:type="paragraph" w:styleId="TOC1">
    <w:name w:val="toc 1"/>
    <w:basedOn w:val="Normal"/>
    <w:next w:val="Normal"/>
    <w:autoRedefine/>
    <w:uiPriority w:val="39"/>
    <w:unhideWhenUsed/>
    <w:rsid w:val="00B80CAC"/>
    <w:pPr>
      <w:tabs>
        <w:tab w:val="right" w:leader="dot" w:pos="9913"/>
      </w:tabs>
      <w:spacing w:after="0"/>
    </w:pPr>
  </w:style>
  <w:style w:type="paragraph" w:styleId="TOC3">
    <w:name w:val="toc 3"/>
    <w:basedOn w:val="Normal"/>
    <w:next w:val="Normal"/>
    <w:autoRedefine/>
    <w:uiPriority w:val="39"/>
    <w:unhideWhenUsed/>
    <w:rsid w:val="00124B20"/>
    <w:pPr>
      <w:spacing w:after="100"/>
      <w:ind w:left="400"/>
    </w:pPr>
  </w:style>
  <w:style w:type="character" w:customStyle="1" w:styleId="A3">
    <w:name w:val="A3"/>
    <w:rsid w:val="0006307C"/>
    <w:rPr>
      <w:rFonts w:cs="Lexia"/>
      <w:b/>
      <w:bCs/>
      <w:color w:val="000000"/>
      <w:sz w:val="14"/>
      <w:szCs w:val="14"/>
    </w:rPr>
  </w:style>
  <w:style w:type="paragraph" w:styleId="NoSpacing">
    <w:name w:val="No Spacing"/>
    <w:uiPriority w:val="1"/>
    <w:qFormat/>
    <w:rsid w:val="00A0596A"/>
    <w:pPr>
      <w:spacing w:after="0"/>
    </w:pPr>
    <w:rPr>
      <w:sz w:val="22"/>
      <w:lang w:val="en-GB"/>
    </w:rPr>
  </w:style>
  <w:style w:type="paragraph" w:customStyle="1" w:styleId="Default">
    <w:name w:val="Default"/>
    <w:rsid w:val="002170D0"/>
    <w:pPr>
      <w:autoSpaceDE w:val="0"/>
      <w:autoSpaceDN w:val="0"/>
      <w:adjustRightInd w:val="0"/>
      <w:spacing w:after="0"/>
    </w:pPr>
    <w:rPr>
      <w:rFonts w:ascii="Arial" w:eastAsia="Calibri" w:hAnsi="Arial" w:cs="Arial"/>
      <w:color w:val="000000"/>
      <w:sz w:val="24"/>
      <w:szCs w:val="24"/>
      <w:lang w:val="sw-KE"/>
    </w:rPr>
  </w:style>
  <w:style w:type="paragraph" w:styleId="BodyTextIndent">
    <w:name w:val="Body Text Indent"/>
    <w:basedOn w:val="Normal"/>
    <w:link w:val="BodyTextIndentChar"/>
    <w:rsid w:val="00E12E7A"/>
    <w:pPr>
      <w:tabs>
        <w:tab w:val="left" w:pos="1620"/>
      </w:tabs>
      <w:spacing w:after="0" w:line="360" w:lineRule="auto"/>
      <w:ind w:left="1620"/>
    </w:pPr>
    <w:rPr>
      <w:rFonts w:ascii="Arial" w:eastAsia="Times New Roman" w:hAnsi="Arial" w:cs="Arial"/>
      <w:sz w:val="24"/>
      <w:szCs w:val="24"/>
      <w:lang w:val="en-IE"/>
    </w:rPr>
  </w:style>
  <w:style w:type="character" w:customStyle="1" w:styleId="BodyTextIndentChar">
    <w:name w:val="Body Text Indent Char"/>
    <w:basedOn w:val="DefaultParagraphFont"/>
    <w:link w:val="BodyTextIndent"/>
    <w:rsid w:val="00E12E7A"/>
    <w:rPr>
      <w:rFonts w:ascii="Arial" w:eastAsia="Times New Roman" w:hAnsi="Arial" w:cs="Arial"/>
      <w:sz w:val="24"/>
      <w:szCs w:val="24"/>
      <w:lang w:val="en-IE"/>
    </w:rPr>
  </w:style>
  <w:style w:type="paragraph" w:styleId="TOC2">
    <w:name w:val="toc 2"/>
    <w:basedOn w:val="Normal"/>
    <w:next w:val="Normal"/>
    <w:autoRedefine/>
    <w:uiPriority w:val="39"/>
    <w:unhideWhenUsed/>
    <w:rsid w:val="009B0B37"/>
    <w:pPr>
      <w:ind w:left="200"/>
    </w:pPr>
    <w:rPr>
      <w:rFonts w:ascii="Calibri" w:eastAsia="Calibri" w:hAnsi="Calibri" w:cs="Times New Roman"/>
    </w:rPr>
  </w:style>
  <w:style w:type="paragraph" w:styleId="NormalWeb">
    <w:name w:val="Normal (Web)"/>
    <w:basedOn w:val="Normal"/>
    <w:uiPriority w:val="99"/>
    <w:semiHidden/>
    <w:unhideWhenUsed/>
    <w:rsid w:val="00706765"/>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184AC9"/>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CA07FB"/>
    <w:pPr>
      <w:spacing w:after="0"/>
    </w:pPr>
    <w:rPr>
      <w:szCs w:val="20"/>
    </w:rPr>
  </w:style>
  <w:style w:type="character" w:customStyle="1" w:styleId="EndnoteTextChar">
    <w:name w:val="Endnote Text Char"/>
    <w:basedOn w:val="DefaultParagraphFont"/>
    <w:link w:val="EndnoteText"/>
    <w:uiPriority w:val="99"/>
    <w:semiHidden/>
    <w:rsid w:val="00CA07FB"/>
    <w:rPr>
      <w:szCs w:val="20"/>
    </w:rPr>
  </w:style>
  <w:style w:type="character" w:styleId="EndnoteReference">
    <w:name w:val="endnote reference"/>
    <w:basedOn w:val="DefaultParagraphFont"/>
    <w:uiPriority w:val="99"/>
    <w:semiHidden/>
    <w:unhideWhenUsed/>
    <w:rsid w:val="00CA07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3E"/>
  </w:style>
  <w:style w:type="paragraph" w:styleId="Heading1">
    <w:name w:val="heading 1"/>
    <w:basedOn w:val="Normal"/>
    <w:next w:val="Normal"/>
    <w:link w:val="Heading1Char"/>
    <w:uiPriority w:val="9"/>
    <w:qFormat/>
    <w:rsid w:val="00A91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4B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4A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569"/>
    <w:pPr>
      <w:ind w:left="720"/>
      <w:contextualSpacing/>
    </w:pPr>
  </w:style>
  <w:style w:type="paragraph" w:styleId="FootnoteText">
    <w:name w:val="footnote text"/>
    <w:basedOn w:val="Normal"/>
    <w:link w:val="FootnoteTextChar"/>
    <w:uiPriority w:val="99"/>
    <w:unhideWhenUsed/>
    <w:rsid w:val="00BD572C"/>
    <w:pPr>
      <w:spacing w:after="0"/>
    </w:pPr>
    <w:rPr>
      <w:szCs w:val="20"/>
    </w:rPr>
  </w:style>
  <w:style w:type="character" w:customStyle="1" w:styleId="FootnoteTextChar">
    <w:name w:val="Footnote Text Char"/>
    <w:basedOn w:val="DefaultParagraphFont"/>
    <w:link w:val="FootnoteText"/>
    <w:uiPriority w:val="99"/>
    <w:rsid w:val="00BD572C"/>
    <w:rPr>
      <w:szCs w:val="20"/>
    </w:rPr>
  </w:style>
  <w:style w:type="character" w:styleId="FootnoteReference">
    <w:name w:val="footnote reference"/>
    <w:basedOn w:val="DefaultParagraphFont"/>
    <w:uiPriority w:val="99"/>
    <w:semiHidden/>
    <w:unhideWhenUsed/>
    <w:rsid w:val="00BD572C"/>
    <w:rPr>
      <w:vertAlign w:val="superscript"/>
    </w:rPr>
  </w:style>
  <w:style w:type="table" w:styleId="TableGrid">
    <w:name w:val="Table Grid"/>
    <w:basedOn w:val="TableNormal"/>
    <w:uiPriority w:val="59"/>
    <w:rsid w:val="00EE14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470ED2"/>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
    <w:name w:val="a"/>
    <w:basedOn w:val="DefaultParagraphFont"/>
    <w:rsid w:val="00292334"/>
  </w:style>
  <w:style w:type="character" w:customStyle="1" w:styleId="l7">
    <w:name w:val="l7"/>
    <w:basedOn w:val="DefaultParagraphFont"/>
    <w:rsid w:val="00D05088"/>
  </w:style>
  <w:style w:type="character" w:styleId="Hyperlink">
    <w:name w:val="Hyperlink"/>
    <w:basedOn w:val="DefaultParagraphFont"/>
    <w:uiPriority w:val="99"/>
    <w:unhideWhenUsed/>
    <w:rsid w:val="00D15384"/>
    <w:rPr>
      <w:color w:val="0000FF" w:themeColor="hyperlink"/>
      <w:u w:val="single"/>
    </w:rPr>
  </w:style>
  <w:style w:type="paragraph" w:styleId="Header">
    <w:name w:val="header"/>
    <w:basedOn w:val="Normal"/>
    <w:link w:val="HeaderChar"/>
    <w:uiPriority w:val="99"/>
    <w:unhideWhenUsed/>
    <w:rsid w:val="00FD689A"/>
    <w:pPr>
      <w:tabs>
        <w:tab w:val="center" w:pos="4680"/>
        <w:tab w:val="right" w:pos="9360"/>
      </w:tabs>
      <w:spacing w:after="0"/>
    </w:pPr>
  </w:style>
  <w:style w:type="character" w:customStyle="1" w:styleId="HeaderChar">
    <w:name w:val="Header Char"/>
    <w:basedOn w:val="DefaultParagraphFont"/>
    <w:link w:val="Header"/>
    <w:uiPriority w:val="99"/>
    <w:rsid w:val="00FD689A"/>
  </w:style>
  <w:style w:type="paragraph" w:styleId="Footer">
    <w:name w:val="footer"/>
    <w:basedOn w:val="Normal"/>
    <w:link w:val="FooterChar"/>
    <w:uiPriority w:val="99"/>
    <w:unhideWhenUsed/>
    <w:rsid w:val="00FD689A"/>
    <w:pPr>
      <w:tabs>
        <w:tab w:val="center" w:pos="4680"/>
        <w:tab w:val="right" w:pos="9360"/>
      </w:tabs>
      <w:spacing w:after="0"/>
    </w:pPr>
  </w:style>
  <w:style w:type="character" w:customStyle="1" w:styleId="FooterChar">
    <w:name w:val="Footer Char"/>
    <w:basedOn w:val="DefaultParagraphFont"/>
    <w:link w:val="Footer"/>
    <w:uiPriority w:val="99"/>
    <w:rsid w:val="00FD689A"/>
  </w:style>
  <w:style w:type="paragraph" w:styleId="BalloonText">
    <w:name w:val="Balloon Text"/>
    <w:basedOn w:val="Normal"/>
    <w:link w:val="BalloonTextChar"/>
    <w:uiPriority w:val="99"/>
    <w:semiHidden/>
    <w:unhideWhenUsed/>
    <w:rsid w:val="00FD68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89A"/>
    <w:rPr>
      <w:rFonts w:ascii="Tahoma" w:hAnsi="Tahoma" w:cs="Tahoma"/>
      <w:sz w:val="16"/>
      <w:szCs w:val="16"/>
    </w:rPr>
  </w:style>
  <w:style w:type="character" w:styleId="CommentReference">
    <w:name w:val="annotation reference"/>
    <w:basedOn w:val="DefaultParagraphFont"/>
    <w:uiPriority w:val="99"/>
    <w:semiHidden/>
    <w:unhideWhenUsed/>
    <w:rsid w:val="00815946"/>
    <w:rPr>
      <w:sz w:val="18"/>
      <w:szCs w:val="18"/>
    </w:rPr>
  </w:style>
  <w:style w:type="paragraph" w:styleId="CommentText">
    <w:name w:val="annotation text"/>
    <w:basedOn w:val="Normal"/>
    <w:link w:val="CommentTextChar"/>
    <w:uiPriority w:val="99"/>
    <w:unhideWhenUsed/>
    <w:rsid w:val="00815946"/>
    <w:rPr>
      <w:sz w:val="24"/>
      <w:szCs w:val="24"/>
    </w:rPr>
  </w:style>
  <w:style w:type="character" w:customStyle="1" w:styleId="CommentTextChar">
    <w:name w:val="Comment Text Char"/>
    <w:basedOn w:val="DefaultParagraphFont"/>
    <w:link w:val="CommentText"/>
    <w:uiPriority w:val="99"/>
    <w:rsid w:val="00815946"/>
    <w:rPr>
      <w:sz w:val="24"/>
      <w:szCs w:val="24"/>
    </w:rPr>
  </w:style>
  <w:style w:type="paragraph" w:styleId="CommentSubject">
    <w:name w:val="annotation subject"/>
    <w:basedOn w:val="CommentText"/>
    <w:next w:val="CommentText"/>
    <w:link w:val="CommentSubjectChar"/>
    <w:uiPriority w:val="99"/>
    <w:semiHidden/>
    <w:unhideWhenUsed/>
    <w:rsid w:val="00815946"/>
    <w:rPr>
      <w:b/>
      <w:bCs/>
      <w:sz w:val="20"/>
      <w:szCs w:val="20"/>
    </w:rPr>
  </w:style>
  <w:style w:type="character" w:customStyle="1" w:styleId="CommentSubjectChar">
    <w:name w:val="Comment Subject Char"/>
    <w:basedOn w:val="CommentTextChar"/>
    <w:link w:val="CommentSubject"/>
    <w:uiPriority w:val="99"/>
    <w:semiHidden/>
    <w:rsid w:val="00815946"/>
    <w:rPr>
      <w:b/>
      <w:bCs/>
      <w:sz w:val="24"/>
      <w:szCs w:val="20"/>
    </w:rPr>
  </w:style>
  <w:style w:type="table" w:customStyle="1" w:styleId="LightShading1">
    <w:name w:val="Light Shading1"/>
    <w:basedOn w:val="TableNormal"/>
    <w:uiPriority w:val="60"/>
    <w:rsid w:val="002664E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9128D"/>
    <w:rPr>
      <w:rFonts w:asciiTheme="majorHAnsi" w:eastAsiaTheme="majorEastAsia" w:hAnsiTheme="majorHAnsi" w:cstheme="majorBidi"/>
      <w:b/>
      <w:bCs/>
      <w:color w:val="365F91" w:themeColor="accent1" w:themeShade="BF"/>
      <w:sz w:val="28"/>
      <w:szCs w:val="28"/>
    </w:rPr>
  </w:style>
  <w:style w:type="table" w:customStyle="1" w:styleId="LightShading-Accent11">
    <w:name w:val="Light Shading - Accent 11"/>
    <w:basedOn w:val="TableNormal"/>
    <w:uiPriority w:val="60"/>
    <w:rsid w:val="00A25DEA"/>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124B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4B2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24B20"/>
    <w:pPr>
      <w:spacing w:line="276" w:lineRule="auto"/>
      <w:outlineLvl w:val="9"/>
    </w:pPr>
  </w:style>
  <w:style w:type="paragraph" w:styleId="TOC1">
    <w:name w:val="toc 1"/>
    <w:basedOn w:val="Normal"/>
    <w:next w:val="Normal"/>
    <w:autoRedefine/>
    <w:uiPriority w:val="39"/>
    <w:unhideWhenUsed/>
    <w:rsid w:val="00B80CAC"/>
    <w:pPr>
      <w:tabs>
        <w:tab w:val="right" w:leader="dot" w:pos="9913"/>
      </w:tabs>
      <w:spacing w:after="0"/>
    </w:pPr>
  </w:style>
  <w:style w:type="paragraph" w:styleId="TOC3">
    <w:name w:val="toc 3"/>
    <w:basedOn w:val="Normal"/>
    <w:next w:val="Normal"/>
    <w:autoRedefine/>
    <w:uiPriority w:val="39"/>
    <w:unhideWhenUsed/>
    <w:rsid w:val="00124B20"/>
    <w:pPr>
      <w:spacing w:after="100"/>
      <w:ind w:left="400"/>
    </w:pPr>
  </w:style>
  <w:style w:type="character" w:customStyle="1" w:styleId="A3">
    <w:name w:val="A3"/>
    <w:rsid w:val="0006307C"/>
    <w:rPr>
      <w:rFonts w:cs="Lexia"/>
      <w:b/>
      <w:bCs/>
      <w:color w:val="000000"/>
      <w:sz w:val="14"/>
      <w:szCs w:val="14"/>
    </w:rPr>
  </w:style>
  <w:style w:type="paragraph" w:styleId="NoSpacing">
    <w:name w:val="No Spacing"/>
    <w:uiPriority w:val="1"/>
    <w:qFormat/>
    <w:rsid w:val="00A0596A"/>
    <w:pPr>
      <w:spacing w:after="0"/>
    </w:pPr>
    <w:rPr>
      <w:sz w:val="22"/>
      <w:lang w:val="en-GB"/>
    </w:rPr>
  </w:style>
  <w:style w:type="paragraph" w:customStyle="1" w:styleId="Default">
    <w:name w:val="Default"/>
    <w:rsid w:val="002170D0"/>
    <w:pPr>
      <w:autoSpaceDE w:val="0"/>
      <w:autoSpaceDN w:val="0"/>
      <w:adjustRightInd w:val="0"/>
      <w:spacing w:after="0"/>
    </w:pPr>
    <w:rPr>
      <w:rFonts w:ascii="Arial" w:eastAsia="Calibri" w:hAnsi="Arial" w:cs="Arial"/>
      <w:color w:val="000000"/>
      <w:sz w:val="24"/>
      <w:szCs w:val="24"/>
      <w:lang w:val="sw-KE"/>
    </w:rPr>
  </w:style>
  <w:style w:type="paragraph" w:styleId="BodyTextIndent">
    <w:name w:val="Body Text Indent"/>
    <w:basedOn w:val="Normal"/>
    <w:link w:val="BodyTextIndentChar"/>
    <w:rsid w:val="00E12E7A"/>
    <w:pPr>
      <w:tabs>
        <w:tab w:val="left" w:pos="1620"/>
      </w:tabs>
      <w:spacing w:after="0" w:line="360" w:lineRule="auto"/>
      <w:ind w:left="1620"/>
    </w:pPr>
    <w:rPr>
      <w:rFonts w:ascii="Arial" w:eastAsia="Times New Roman" w:hAnsi="Arial" w:cs="Arial"/>
      <w:sz w:val="24"/>
      <w:szCs w:val="24"/>
      <w:lang w:val="en-IE"/>
    </w:rPr>
  </w:style>
  <w:style w:type="character" w:customStyle="1" w:styleId="BodyTextIndentChar">
    <w:name w:val="Body Text Indent Char"/>
    <w:basedOn w:val="DefaultParagraphFont"/>
    <w:link w:val="BodyTextIndent"/>
    <w:rsid w:val="00E12E7A"/>
    <w:rPr>
      <w:rFonts w:ascii="Arial" w:eastAsia="Times New Roman" w:hAnsi="Arial" w:cs="Arial"/>
      <w:sz w:val="24"/>
      <w:szCs w:val="24"/>
      <w:lang w:val="en-IE"/>
    </w:rPr>
  </w:style>
  <w:style w:type="paragraph" w:styleId="TOC2">
    <w:name w:val="toc 2"/>
    <w:basedOn w:val="Normal"/>
    <w:next w:val="Normal"/>
    <w:autoRedefine/>
    <w:uiPriority w:val="39"/>
    <w:unhideWhenUsed/>
    <w:rsid w:val="009B0B37"/>
    <w:pPr>
      <w:ind w:left="200"/>
    </w:pPr>
    <w:rPr>
      <w:rFonts w:ascii="Calibri" w:eastAsia="Calibri" w:hAnsi="Calibri" w:cs="Times New Roman"/>
    </w:rPr>
  </w:style>
  <w:style w:type="paragraph" w:styleId="NormalWeb">
    <w:name w:val="Normal (Web)"/>
    <w:basedOn w:val="Normal"/>
    <w:uiPriority w:val="99"/>
    <w:semiHidden/>
    <w:unhideWhenUsed/>
    <w:rsid w:val="00706765"/>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184AC9"/>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CA07FB"/>
    <w:pPr>
      <w:spacing w:after="0"/>
    </w:pPr>
    <w:rPr>
      <w:szCs w:val="20"/>
    </w:rPr>
  </w:style>
  <w:style w:type="character" w:customStyle="1" w:styleId="EndnoteTextChar">
    <w:name w:val="Endnote Text Char"/>
    <w:basedOn w:val="DefaultParagraphFont"/>
    <w:link w:val="EndnoteText"/>
    <w:uiPriority w:val="99"/>
    <w:semiHidden/>
    <w:rsid w:val="00CA07FB"/>
    <w:rPr>
      <w:szCs w:val="20"/>
    </w:rPr>
  </w:style>
  <w:style w:type="character" w:styleId="EndnoteReference">
    <w:name w:val="endnote reference"/>
    <w:basedOn w:val="DefaultParagraphFont"/>
    <w:uiPriority w:val="99"/>
    <w:semiHidden/>
    <w:unhideWhenUsed/>
    <w:rsid w:val="00CA0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9163">
      <w:bodyDiv w:val="1"/>
      <w:marLeft w:val="0"/>
      <w:marRight w:val="0"/>
      <w:marTop w:val="0"/>
      <w:marBottom w:val="0"/>
      <w:divBdr>
        <w:top w:val="none" w:sz="0" w:space="0" w:color="auto"/>
        <w:left w:val="none" w:sz="0" w:space="0" w:color="auto"/>
        <w:bottom w:val="none" w:sz="0" w:space="0" w:color="auto"/>
        <w:right w:val="none" w:sz="0" w:space="0" w:color="auto"/>
      </w:divBdr>
    </w:div>
    <w:div w:id="112678262">
      <w:bodyDiv w:val="1"/>
      <w:marLeft w:val="0"/>
      <w:marRight w:val="0"/>
      <w:marTop w:val="0"/>
      <w:marBottom w:val="0"/>
      <w:divBdr>
        <w:top w:val="none" w:sz="0" w:space="0" w:color="auto"/>
        <w:left w:val="none" w:sz="0" w:space="0" w:color="auto"/>
        <w:bottom w:val="none" w:sz="0" w:space="0" w:color="auto"/>
        <w:right w:val="none" w:sz="0" w:space="0" w:color="auto"/>
      </w:divBdr>
    </w:div>
    <w:div w:id="125465907">
      <w:bodyDiv w:val="1"/>
      <w:marLeft w:val="0"/>
      <w:marRight w:val="0"/>
      <w:marTop w:val="0"/>
      <w:marBottom w:val="0"/>
      <w:divBdr>
        <w:top w:val="none" w:sz="0" w:space="0" w:color="auto"/>
        <w:left w:val="none" w:sz="0" w:space="0" w:color="auto"/>
        <w:bottom w:val="none" w:sz="0" w:space="0" w:color="auto"/>
        <w:right w:val="none" w:sz="0" w:space="0" w:color="auto"/>
      </w:divBdr>
    </w:div>
    <w:div w:id="156697201">
      <w:bodyDiv w:val="1"/>
      <w:marLeft w:val="0"/>
      <w:marRight w:val="0"/>
      <w:marTop w:val="0"/>
      <w:marBottom w:val="0"/>
      <w:divBdr>
        <w:top w:val="none" w:sz="0" w:space="0" w:color="auto"/>
        <w:left w:val="none" w:sz="0" w:space="0" w:color="auto"/>
        <w:bottom w:val="none" w:sz="0" w:space="0" w:color="auto"/>
        <w:right w:val="none" w:sz="0" w:space="0" w:color="auto"/>
      </w:divBdr>
    </w:div>
    <w:div w:id="184560880">
      <w:bodyDiv w:val="1"/>
      <w:marLeft w:val="0"/>
      <w:marRight w:val="0"/>
      <w:marTop w:val="0"/>
      <w:marBottom w:val="0"/>
      <w:divBdr>
        <w:top w:val="none" w:sz="0" w:space="0" w:color="auto"/>
        <w:left w:val="none" w:sz="0" w:space="0" w:color="auto"/>
        <w:bottom w:val="none" w:sz="0" w:space="0" w:color="auto"/>
        <w:right w:val="none" w:sz="0" w:space="0" w:color="auto"/>
      </w:divBdr>
    </w:div>
    <w:div w:id="241527200">
      <w:bodyDiv w:val="1"/>
      <w:marLeft w:val="0"/>
      <w:marRight w:val="0"/>
      <w:marTop w:val="0"/>
      <w:marBottom w:val="0"/>
      <w:divBdr>
        <w:top w:val="none" w:sz="0" w:space="0" w:color="auto"/>
        <w:left w:val="none" w:sz="0" w:space="0" w:color="auto"/>
        <w:bottom w:val="none" w:sz="0" w:space="0" w:color="auto"/>
        <w:right w:val="none" w:sz="0" w:space="0" w:color="auto"/>
      </w:divBdr>
      <w:divsChild>
        <w:div w:id="1154374418">
          <w:marLeft w:val="0"/>
          <w:marRight w:val="0"/>
          <w:marTop w:val="0"/>
          <w:marBottom w:val="0"/>
          <w:divBdr>
            <w:top w:val="none" w:sz="0" w:space="0" w:color="auto"/>
            <w:left w:val="none" w:sz="0" w:space="0" w:color="auto"/>
            <w:bottom w:val="none" w:sz="0" w:space="0" w:color="auto"/>
            <w:right w:val="none" w:sz="0" w:space="0" w:color="auto"/>
          </w:divBdr>
        </w:div>
        <w:div w:id="1666980012">
          <w:marLeft w:val="0"/>
          <w:marRight w:val="0"/>
          <w:marTop w:val="0"/>
          <w:marBottom w:val="0"/>
          <w:divBdr>
            <w:top w:val="none" w:sz="0" w:space="0" w:color="auto"/>
            <w:left w:val="none" w:sz="0" w:space="0" w:color="auto"/>
            <w:bottom w:val="none" w:sz="0" w:space="0" w:color="auto"/>
            <w:right w:val="none" w:sz="0" w:space="0" w:color="auto"/>
          </w:divBdr>
        </w:div>
      </w:divsChild>
    </w:div>
    <w:div w:id="265118785">
      <w:bodyDiv w:val="1"/>
      <w:marLeft w:val="0"/>
      <w:marRight w:val="0"/>
      <w:marTop w:val="0"/>
      <w:marBottom w:val="0"/>
      <w:divBdr>
        <w:top w:val="none" w:sz="0" w:space="0" w:color="auto"/>
        <w:left w:val="none" w:sz="0" w:space="0" w:color="auto"/>
        <w:bottom w:val="none" w:sz="0" w:space="0" w:color="auto"/>
        <w:right w:val="none" w:sz="0" w:space="0" w:color="auto"/>
      </w:divBdr>
    </w:div>
    <w:div w:id="308485159">
      <w:bodyDiv w:val="1"/>
      <w:marLeft w:val="0"/>
      <w:marRight w:val="0"/>
      <w:marTop w:val="0"/>
      <w:marBottom w:val="0"/>
      <w:divBdr>
        <w:top w:val="none" w:sz="0" w:space="0" w:color="auto"/>
        <w:left w:val="none" w:sz="0" w:space="0" w:color="auto"/>
        <w:bottom w:val="none" w:sz="0" w:space="0" w:color="auto"/>
        <w:right w:val="none" w:sz="0" w:space="0" w:color="auto"/>
      </w:divBdr>
    </w:div>
    <w:div w:id="320472966">
      <w:bodyDiv w:val="1"/>
      <w:marLeft w:val="0"/>
      <w:marRight w:val="0"/>
      <w:marTop w:val="0"/>
      <w:marBottom w:val="0"/>
      <w:divBdr>
        <w:top w:val="none" w:sz="0" w:space="0" w:color="auto"/>
        <w:left w:val="none" w:sz="0" w:space="0" w:color="auto"/>
        <w:bottom w:val="none" w:sz="0" w:space="0" w:color="auto"/>
        <w:right w:val="none" w:sz="0" w:space="0" w:color="auto"/>
      </w:divBdr>
    </w:div>
    <w:div w:id="390884750">
      <w:bodyDiv w:val="1"/>
      <w:marLeft w:val="0"/>
      <w:marRight w:val="0"/>
      <w:marTop w:val="0"/>
      <w:marBottom w:val="0"/>
      <w:divBdr>
        <w:top w:val="none" w:sz="0" w:space="0" w:color="auto"/>
        <w:left w:val="none" w:sz="0" w:space="0" w:color="auto"/>
        <w:bottom w:val="none" w:sz="0" w:space="0" w:color="auto"/>
        <w:right w:val="none" w:sz="0" w:space="0" w:color="auto"/>
      </w:divBdr>
    </w:div>
    <w:div w:id="450589289">
      <w:bodyDiv w:val="1"/>
      <w:marLeft w:val="0"/>
      <w:marRight w:val="0"/>
      <w:marTop w:val="0"/>
      <w:marBottom w:val="0"/>
      <w:divBdr>
        <w:top w:val="none" w:sz="0" w:space="0" w:color="auto"/>
        <w:left w:val="none" w:sz="0" w:space="0" w:color="auto"/>
        <w:bottom w:val="none" w:sz="0" w:space="0" w:color="auto"/>
        <w:right w:val="none" w:sz="0" w:space="0" w:color="auto"/>
      </w:divBdr>
    </w:div>
    <w:div w:id="493373703">
      <w:bodyDiv w:val="1"/>
      <w:marLeft w:val="0"/>
      <w:marRight w:val="0"/>
      <w:marTop w:val="0"/>
      <w:marBottom w:val="0"/>
      <w:divBdr>
        <w:top w:val="none" w:sz="0" w:space="0" w:color="auto"/>
        <w:left w:val="none" w:sz="0" w:space="0" w:color="auto"/>
        <w:bottom w:val="none" w:sz="0" w:space="0" w:color="auto"/>
        <w:right w:val="none" w:sz="0" w:space="0" w:color="auto"/>
      </w:divBdr>
    </w:div>
    <w:div w:id="508329258">
      <w:bodyDiv w:val="1"/>
      <w:marLeft w:val="0"/>
      <w:marRight w:val="0"/>
      <w:marTop w:val="0"/>
      <w:marBottom w:val="0"/>
      <w:divBdr>
        <w:top w:val="none" w:sz="0" w:space="0" w:color="auto"/>
        <w:left w:val="none" w:sz="0" w:space="0" w:color="auto"/>
        <w:bottom w:val="none" w:sz="0" w:space="0" w:color="auto"/>
        <w:right w:val="none" w:sz="0" w:space="0" w:color="auto"/>
      </w:divBdr>
    </w:div>
    <w:div w:id="530342643">
      <w:bodyDiv w:val="1"/>
      <w:marLeft w:val="0"/>
      <w:marRight w:val="0"/>
      <w:marTop w:val="0"/>
      <w:marBottom w:val="0"/>
      <w:divBdr>
        <w:top w:val="none" w:sz="0" w:space="0" w:color="auto"/>
        <w:left w:val="none" w:sz="0" w:space="0" w:color="auto"/>
        <w:bottom w:val="none" w:sz="0" w:space="0" w:color="auto"/>
        <w:right w:val="none" w:sz="0" w:space="0" w:color="auto"/>
      </w:divBdr>
    </w:div>
    <w:div w:id="534849367">
      <w:bodyDiv w:val="1"/>
      <w:marLeft w:val="0"/>
      <w:marRight w:val="0"/>
      <w:marTop w:val="0"/>
      <w:marBottom w:val="0"/>
      <w:divBdr>
        <w:top w:val="none" w:sz="0" w:space="0" w:color="auto"/>
        <w:left w:val="none" w:sz="0" w:space="0" w:color="auto"/>
        <w:bottom w:val="none" w:sz="0" w:space="0" w:color="auto"/>
        <w:right w:val="none" w:sz="0" w:space="0" w:color="auto"/>
      </w:divBdr>
    </w:div>
    <w:div w:id="546995194">
      <w:bodyDiv w:val="1"/>
      <w:marLeft w:val="0"/>
      <w:marRight w:val="0"/>
      <w:marTop w:val="0"/>
      <w:marBottom w:val="0"/>
      <w:divBdr>
        <w:top w:val="none" w:sz="0" w:space="0" w:color="auto"/>
        <w:left w:val="none" w:sz="0" w:space="0" w:color="auto"/>
        <w:bottom w:val="none" w:sz="0" w:space="0" w:color="auto"/>
        <w:right w:val="none" w:sz="0" w:space="0" w:color="auto"/>
      </w:divBdr>
    </w:div>
    <w:div w:id="593318871">
      <w:bodyDiv w:val="1"/>
      <w:marLeft w:val="0"/>
      <w:marRight w:val="0"/>
      <w:marTop w:val="0"/>
      <w:marBottom w:val="0"/>
      <w:divBdr>
        <w:top w:val="none" w:sz="0" w:space="0" w:color="auto"/>
        <w:left w:val="none" w:sz="0" w:space="0" w:color="auto"/>
        <w:bottom w:val="none" w:sz="0" w:space="0" w:color="auto"/>
        <w:right w:val="none" w:sz="0" w:space="0" w:color="auto"/>
      </w:divBdr>
    </w:div>
    <w:div w:id="600719005">
      <w:bodyDiv w:val="1"/>
      <w:marLeft w:val="0"/>
      <w:marRight w:val="0"/>
      <w:marTop w:val="0"/>
      <w:marBottom w:val="0"/>
      <w:divBdr>
        <w:top w:val="none" w:sz="0" w:space="0" w:color="auto"/>
        <w:left w:val="none" w:sz="0" w:space="0" w:color="auto"/>
        <w:bottom w:val="none" w:sz="0" w:space="0" w:color="auto"/>
        <w:right w:val="none" w:sz="0" w:space="0" w:color="auto"/>
      </w:divBdr>
    </w:div>
    <w:div w:id="673804623">
      <w:bodyDiv w:val="1"/>
      <w:marLeft w:val="0"/>
      <w:marRight w:val="0"/>
      <w:marTop w:val="0"/>
      <w:marBottom w:val="0"/>
      <w:divBdr>
        <w:top w:val="none" w:sz="0" w:space="0" w:color="auto"/>
        <w:left w:val="none" w:sz="0" w:space="0" w:color="auto"/>
        <w:bottom w:val="none" w:sz="0" w:space="0" w:color="auto"/>
        <w:right w:val="none" w:sz="0" w:space="0" w:color="auto"/>
      </w:divBdr>
    </w:div>
    <w:div w:id="701398339">
      <w:bodyDiv w:val="1"/>
      <w:marLeft w:val="0"/>
      <w:marRight w:val="0"/>
      <w:marTop w:val="0"/>
      <w:marBottom w:val="0"/>
      <w:divBdr>
        <w:top w:val="none" w:sz="0" w:space="0" w:color="auto"/>
        <w:left w:val="none" w:sz="0" w:space="0" w:color="auto"/>
        <w:bottom w:val="none" w:sz="0" w:space="0" w:color="auto"/>
        <w:right w:val="none" w:sz="0" w:space="0" w:color="auto"/>
      </w:divBdr>
    </w:div>
    <w:div w:id="725642609">
      <w:bodyDiv w:val="1"/>
      <w:marLeft w:val="0"/>
      <w:marRight w:val="0"/>
      <w:marTop w:val="0"/>
      <w:marBottom w:val="0"/>
      <w:divBdr>
        <w:top w:val="none" w:sz="0" w:space="0" w:color="auto"/>
        <w:left w:val="none" w:sz="0" w:space="0" w:color="auto"/>
        <w:bottom w:val="none" w:sz="0" w:space="0" w:color="auto"/>
        <w:right w:val="none" w:sz="0" w:space="0" w:color="auto"/>
      </w:divBdr>
    </w:div>
    <w:div w:id="736822089">
      <w:bodyDiv w:val="1"/>
      <w:marLeft w:val="0"/>
      <w:marRight w:val="0"/>
      <w:marTop w:val="0"/>
      <w:marBottom w:val="0"/>
      <w:divBdr>
        <w:top w:val="none" w:sz="0" w:space="0" w:color="auto"/>
        <w:left w:val="none" w:sz="0" w:space="0" w:color="auto"/>
        <w:bottom w:val="none" w:sz="0" w:space="0" w:color="auto"/>
        <w:right w:val="none" w:sz="0" w:space="0" w:color="auto"/>
      </w:divBdr>
    </w:div>
    <w:div w:id="741567660">
      <w:bodyDiv w:val="1"/>
      <w:marLeft w:val="0"/>
      <w:marRight w:val="0"/>
      <w:marTop w:val="0"/>
      <w:marBottom w:val="0"/>
      <w:divBdr>
        <w:top w:val="none" w:sz="0" w:space="0" w:color="auto"/>
        <w:left w:val="none" w:sz="0" w:space="0" w:color="auto"/>
        <w:bottom w:val="none" w:sz="0" w:space="0" w:color="auto"/>
        <w:right w:val="none" w:sz="0" w:space="0" w:color="auto"/>
      </w:divBdr>
    </w:div>
    <w:div w:id="752042995">
      <w:bodyDiv w:val="1"/>
      <w:marLeft w:val="0"/>
      <w:marRight w:val="0"/>
      <w:marTop w:val="0"/>
      <w:marBottom w:val="0"/>
      <w:divBdr>
        <w:top w:val="none" w:sz="0" w:space="0" w:color="auto"/>
        <w:left w:val="none" w:sz="0" w:space="0" w:color="auto"/>
        <w:bottom w:val="none" w:sz="0" w:space="0" w:color="auto"/>
        <w:right w:val="none" w:sz="0" w:space="0" w:color="auto"/>
      </w:divBdr>
    </w:div>
    <w:div w:id="804590429">
      <w:bodyDiv w:val="1"/>
      <w:marLeft w:val="0"/>
      <w:marRight w:val="0"/>
      <w:marTop w:val="0"/>
      <w:marBottom w:val="0"/>
      <w:divBdr>
        <w:top w:val="none" w:sz="0" w:space="0" w:color="auto"/>
        <w:left w:val="none" w:sz="0" w:space="0" w:color="auto"/>
        <w:bottom w:val="none" w:sz="0" w:space="0" w:color="auto"/>
        <w:right w:val="none" w:sz="0" w:space="0" w:color="auto"/>
      </w:divBdr>
    </w:div>
    <w:div w:id="895117655">
      <w:bodyDiv w:val="1"/>
      <w:marLeft w:val="0"/>
      <w:marRight w:val="0"/>
      <w:marTop w:val="0"/>
      <w:marBottom w:val="0"/>
      <w:divBdr>
        <w:top w:val="none" w:sz="0" w:space="0" w:color="auto"/>
        <w:left w:val="none" w:sz="0" w:space="0" w:color="auto"/>
        <w:bottom w:val="none" w:sz="0" w:space="0" w:color="auto"/>
        <w:right w:val="none" w:sz="0" w:space="0" w:color="auto"/>
      </w:divBdr>
    </w:div>
    <w:div w:id="970130838">
      <w:bodyDiv w:val="1"/>
      <w:marLeft w:val="0"/>
      <w:marRight w:val="0"/>
      <w:marTop w:val="0"/>
      <w:marBottom w:val="0"/>
      <w:divBdr>
        <w:top w:val="none" w:sz="0" w:space="0" w:color="auto"/>
        <w:left w:val="none" w:sz="0" w:space="0" w:color="auto"/>
        <w:bottom w:val="none" w:sz="0" w:space="0" w:color="auto"/>
        <w:right w:val="none" w:sz="0" w:space="0" w:color="auto"/>
      </w:divBdr>
    </w:div>
    <w:div w:id="989166865">
      <w:bodyDiv w:val="1"/>
      <w:marLeft w:val="0"/>
      <w:marRight w:val="0"/>
      <w:marTop w:val="0"/>
      <w:marBottom w:val="0"/>
      <w:divBdr>
        <w:top w:val="none" w:sz="0" w:space="0" w:color="auto"/>
        <w:left w:val="none" w:sz="0" w:space="0" w:color="auto"/>
        <w:bottom w:val="none" w:sz="0" w:space="0" w:color="auto"/>
        <w:right w:val="none" w:sz="0" w:space="0" w:color="auto"/>
      </w:divBdr>
    </w:div>
    <w:div w:id="1001931600">
      <w:bodyDiv w:val="1"/>
      <w:marLeft w:val="0"/>
      <w:marRight w:val="0"/>
      <w:marTop w:val="0"/>
      <w:marBottom w:val="0"/>
      <w:divBdr>
        <w:top w:val="none" w:sz="0" w:space="0" w:color="auto"/>
        <w:left w:val="none" w:sz="0" w:space="0" w:color="auto"/>
        <w:bottom w:val="none" w:sz="0" w:space="0" w:color="auto"/>
        <w:right w:val="none" w:sz="0" w:space="0" w:color="auto"/>
      </w:divBdr>
    </w:div>
    <w:div w:id="1143888041">
      <w:bodyDiv w:val="1"/>
      <w:marLeft w:val="0"/>
      <w:marRight w:val="0"/>
      <w:marTop w:val="0"/>
      <w:marBottom w:val="0"/>
      <w:divBdr>
        <w:top w:val="none" w:sz="0" w:space="0" w:color="auto"/>
        <w:left w:val="none" w:sz="0" w:space="0" w:color="auto"/>
        <w:bottom w:val="none" w:sz="0" w:space="0" w:color="auto"/>
        <w:right w:val="none" w:sz="0" w:space="0" w:color="auto"/>
      </w:divBdr>
    </w:div>
    <w:div w:id="1205753880">
      <w:bodyDiv w:val="1"/>
      <w:marLeft w:val="0"/>
      <w:marRight w:val="0"/>
      <w:marTop w:val="0"/>
      <w:marBottom w:val="0"/>
      <w:divBdr>
        <w:top w:val="none" w:sz="0" w:space="0" w:color="auto"/>
        <w:left w:val="none" w:sz="0" w:space="0" w:color="auto"/>
        <w:bottom w:val="none" w:sz="0" w:space="0" w:color="auto"/>
        <w:right w:val="none" w:sz="0" w:space="0" w:color="auto"/>
      </w:divBdr>
    </w:div>
    <w:div w:id="1215309523">
      <w:bodyDiv w:val="1"/>
      <w:marLeft w:val="0"/>
      <w:marRight w:val="0"/>
      <w:marTop w:val="0"/>
      <w:marBottom w:val="0"/>
      <w:divBdr>
        <w:top w:val="none" w:sz="0" w:space="0" w:color="auto"/>
        <w:left w:val="none" w:sz="0" w:space="0" w:color="auto"/>
        <w:bottom w:val="none" w:sz="0" w:space="0" w:color="auto"/>
        <w:right w:val="none" w:sz="0" w:space="0" w:color="auto"/>
      </w:divBdr>
    </w:div>
    <w:div w:id="1285425259">
      <w:bodyDiv w:val="1"/>
      <w:marLeft w:val="0"/>
      <w:marRight w:val="0"/>
      <w:marTop w:val="0"/>
      <w:marBottom w:val="0"/>
      <w:divBdr>
        <w:top w:val="none" w:sz="0" w:space="0" w:color="auto"/>
        <w:left w:val="none" w:sz="0" w:space="0" w:color="auto"/>
        <w:bottom w:val="none" w:sz="0" w:space="0" w:color="auto"/>
        <w:right w:val="none" w:sz="0" w:space="0" w:color="auto"/>
      </w:divBdr>
    </w:div>
    <w:div w:id="1291277644">
      <w:bodyDiv w:val="1"/>
      <w:marLeft w:val="0"/>
      <w:marRight w:val="0"/>
      <w:marTop w:val="0"/>
      <w:marBottom w:val="0"/>
      <w:divBdr>
        <w:top w:val="none" w:sz="0" w:space="0" w:color="auto"/>
        <w:left w:val="none" w:sz="0" w:space="0" w:color="auto"/>
        <w:bottom w:val="none" w:sz="0" w:space="0" w:color="auto"/>
        <w:right w:val="none" w:sz="0" w:space="0" w:color="auto"/>
      </w:divBdr>
    </w:div>
    <w:div w:id="1358773818">
      <w:bodyDiv w:val="1"/>
      <w:marLeft w:val="0"/>
      <w:marRight w:val="0"/>
      <w:marTop w:val="0"/>
      <w:marBottom w:val="0"/>
      <w:divBdr>
        <w:top w:val="none" w:sz="0" w:space="0" w:color="auto"/>
        <w:left w:val="none" w:sz="0" w:space="0" w:color="auto"/>
        <w:bottom w:val="none" w:sz="0" w:space="0" w:color="auto"/>
        <w:right w:val="none" w:sz="0" w:space="0" w:color="auto"/>
      </w:divBdr>
      <w:divsChild>
        <w:div w:id="967397398">
          <w:marLeft w:val="461"/>
          <w:marRight w:val="0"/>
          <w:marTop w:val="123"/>
          <w:marBottom w:val="74"/>
          <w:divBdr>
            <w:top w:val="none" w:sz="0" w:space="0" w:color="auto"/>
            <w:left w:val="none" w:sz="0" w:space="0" w:color="auto"/>
            <w:bottom w:val="none" w:sz="0" w:space="0" w:color="auto"/>
            <w:right w:val="none" w:sz="0" w:space="0" w:color="auto"/>
          </w:divBdr>
        </w:div>
        <w:div w:id="1423453475">
          <w:marLeft w:val="461"/>
          <w:marRight w:val="0"/>
          <w:marTop w:val="123"/>
          <w:marBottom w:val="74"/>
          <w:divBdr>
            <w:top w:val="none" w:sz="0" w:space="0" w:color="auto"/>
            <w:left w:val="none" w:sz="0" w:space="0" w:color="auto"/>
            <w:bottom w:val="none" w:sz="0" w:space="0" w:color="auto"/>
            <w:right w:val="none" w:sz="0" w:space="0" w:color="auto"/>
          </w:divBdr>
        </w:div>
        <w:div w:id="1012411990">
          <w:marLeft w:val="461"/>
          <w:marRight w:val="0"/>
          <w:marTop w:val="123"/>
          <w:marBottom w:val="74"/>
          <w:divBdr>
            <w:top w:val="none" w:sz="0" w:space="0" w:color="auto"/>
            <w:left w:val="none" w:sz="0" w:space="0" w:color="auto"/>
            <w:bottom w:val="none" w:sz="0" w:space="0" w:color="auto"/>
            <w:right w:val="none" w:sz="0" w:space="0" w:color="auto"/>
          </w:divBdr>
        </w:div>
        <w:div w:id="1363556501">
          <w:marLeft w:val="461"/>
          <w:marRight w:val="0"/>
          <w:marTop w:val="123"/>
          <w:marBottom w:val="74"/>
          <w:divBdr>
            <w:top w:val="none" w:sz="0" w:space="0" w:color="auto"/>
            <w:left w:val="none" w:sz="0" w:space="0" w:color="auto"/>
            <w:bottom w:val="none" w:sz="0" w:space="0" w:color="auto"/>
            <w:right w:val="none" w:sz="0" w:space="0" w:color="auto"/>
          </w:divBdr>
        </w:div>
      </w:divsChild>
    </w:div>
    <w:div w:id="1416198310">
      <w:bodyDiv w:val="1"/>
      <w:marLeft w:val="0"/>
      <w:marRight w:val="0"/>
      <w:marTop w:val="0"/>
      <w:marBottom w:val="0"/>
      <w:divBdr>
        <w:top w:val="none" w:sz="0" w:space="0" w:color="auto"/>
        <w:left w:val="none" w:sz="0" w:space="0" w:color="auto"/>
        <w:bottom w:val="none" w:sz="0" w:space="0" w:color="auto"/>
        <w:right w:val="none" w:sz="0" w:space="0" w:color="auto"/>
      </w:divBdr>
    </w:div>
    <w:div w:id="1417705377">
      <w:bodyDiv w:val="1"/>
      <w:marLeft w:val="0"/>
      <w:marRight w:val="0"/>
      <w:marTop w:val="0"/>
      <w:marBottom w:val="0"/>
      <w:divBdr>
        <w:top w:val="none" w:sz="0" w:space="0" w:color="auto"/>
        <w:left w:val="none" w:sz="0" w:space="0" w:color="auto"/>
        <w:bottom w:val="none" w:sz="0" w:space="0" w:color="auto"/>
        <w:right w:val="none" w:sz="0" w:space="0" w:color="auto"/>
      </w:divBdr>
    </w:div>
    <w:div w:id="1447965497">
      <w:bodyDiv w:val="1"/>
      <w:marLeft w:val="0"/>
      <w:marRight w:val="0"/>
      <w:marTop w:val="0"/>
      <w:marBottom w:val="0"/>
      <w:divBdr>
        <w:top w:val="none" w:sz="0" w:space="0" w:color="auto"/>
        <w:left w:val="none" w:sz="0" w:space="0" w:color="auto"/>
        <w:bottom w:val="none" w:sz="0" w:space="0" w:color="auto"/>
        <w:right w:val="none" w:sz="0" w:space="0" w:color="auto"/>
      </w:divBdr>
    </w:div>
    <w:div w:id="1466006432">
      <w:bodyDiv w:val="1"/>
      <w:marLeft w:val="0"/>
      <w:marRight w:val="0"/>
      <w:marTop w:val="0"/>
      <w:marBottom w:val="0"/>
      <w:divBdr>
        <w:top w:val="none" w:sz="0" w:space="0" w:color="auto"/>
        <w:left w:val="none" w:sz="0" w:space="0" w:color="auto"/>
        <w:bottom w:val="none" w:sz="0" w:space="0" w:color="auto"/>
        <w:right w:val="none" w:sz="0" w:space="0" w:color="auto"/>
      </w:divBdr>
    </w:div>
    <w:div w:id="1473599817">
      <w:bodyDiv w:val="1"/>
      <w:marLeft w:val="0"/>
      <w:marRight w:val="0"/>
      <w:marTop w:val="0"/>
      <w:marBottom w:val="0"/>
      <w:divBdr>
        <w:top w:val="none" w:sz="0" w:space="0" w:color="auto"/>
        <w:left w:val="none" w:sz="0" w:space="0" w:color="auto"/>
        <w:bottom w:val="none" w:sz="0" w:space="0" w:color="auto"/>
        <w:right w:val="none" w:sz="0" w:space="0" w:color="auto"/>
      </w:divBdr>
    </w:div>
    <w:div w:id="1562449150">
      <w:bodyDiv w:val="1"/>
      <w:marLeft w:val="0"/>
      <w:marRight w:val="0"/>
      <w:marTop w:val="0"/>
      <w:marBottom w:val="0"/>
      <w:divBdr>
        <w:top w:val="none" w:sz="0" w:space="0" w:color="auto"/>
        <w:left w:val="none" w:sz="0" w:space="0" w:color="auto"/>
        <w:bottom w:val="none" w:sz="0" w:space="0" w:color="auto"/>
        <w:right w:val="none" w:sz="0" w:space="0" w:color="auto"/>
      </w:divBdr>
    </w:div>
    <w:div w:id="1584995955">
      <w:bodyDiv w:val="1"/>
      <w:marLeft w:val="0"/>
      <w:marRight w:val="0"/>
      <w:marTop w:val="0"/>
      <w:marBottom w:val="0"/>
      <w:divBdr>
        <w:top w:val="none" w:sz="0" w:space="0" w:color="auto"/>
        <w:left w:val="none" w:sz="0" w:space="0" w:color="auto"/>
        <w:bottom w:val="none" w:sz="0" w:space="0" w:color="auto"/>
        <w:right w:val="none" w:sz="0" w:space="0" w:color="auto"/>
      </w:divBdr>
    </w:div>
    <w:div w:id="1646817694">
      <w:bodyDiv w:val="1"/>
      <w:marLeft w:val="0"/>
      <w:marRight w:val="0"/>
      <w:marTop w:val="0"/>
      <w:marBottom w:val="0"/>
      <w:divBdr>
        <w:top w:val="none" w:sz="0" w:space="0" w:color="auto"/>
        <w:left w:val="none" w:sz="0" w:space="0" w:color="auto"/>
        <w:bottom w:val="none" w:sz="0" w:space="0" w:color="auto"/>
        <w:right w:val="none" w:sz="0" w:space="0" w:color="auto"/>
      </w:divBdr>
    </w:div>
    <w:div w:id="1778527039">
      <w:bodyDiv w:val="1"/>
      <w:marLeft w:val="0"/>
      <w:marRight w:val="0"/>
      <w:marTop w:val="0"/>
      <w:marBottom w:val="0"/>
      <w:divBdr>
        <w:top w:val="none" w:sz="0" w:space="0" w:color="auto"/>
        <w:left w:val="none" w:sz="0" w:space="0" w:color="auto"/>
        <w:bottom w:val="none" w:sz="0" w:space="0" w:color="auto"/>
        <w:right w:val="none" w:sz="0" w:space="0" w:color="auto"/>
      </w:divBdr>
    </w:div>
    <w:div w:id="1824006841">
      <w:bodyDiv w:val="1"/>
      <w:marLeft w:val="0"/>
      <w:marRight w:val="0"/>
      <w:marTop w:val="0"/>
      <w:marBottom w:val="0"/>
      <w:divBdr>
        <w:top w:val="none" w:sz="0" w:space="0" w:color="auto"/>
        <w:left w:val="none" w:sz="0" w:space="0" w:color="auto"/>
        <w:bottom w:val="none" w:sz="0" w:space="0" w:color="auto"/>
        <w:right w:val="none" w:sz="0" w:space="0" w:color="auto"/>
      </w:divBdr>
    </w:div>
    <w:div w:id="1843815605">
      <w:bodyDiv w:val="1"/>
      <w:marLeft w:val="0"/>
      <w:marRight w:val="0"/>
      <w:marTop w:val="0"/>
      <w:marBottom w:val="0"/>
      <w:divBdr>
        <w:top w:val="none" w:sz="0" w:space="0" w:color="auto"/>
        <w:left w:val="none" w:sz="0" w:space="0" w:color="auto"/>
        <w:bottom w:val="none" w:sz="0" w:space="0" w:color="auto"/>
        <w:right w:val="none" w:sz="0" w:space="0" w:color="auto"/>
      </w:divBdr>
    </w:div>
    <w:div w:id="1846431878">
      <w:bodyDiv w:val="1"/>
      <w:marLeft w:val="0"/>
      <w:marRight w:val="0"/>
      <w:marTop w:val="0"/>
      <w:marBottom w:val="0"/>
      <w:divBdr>
        <w:top w:val="none" w:sz="0" w:space="0" w:color="auto"/>
        <w:left w:val="none" w:sz="0" w:space="0" w:color="auto"/>
        <w:bottom w:val="none" w:sz="0" w:space="0" w:color="auto"/>
        <w:right w:val="none" w:sz="0" w:space="0" w:color="auto"/>
      </w:divBdr>
    </w:div>
    <w:div w:id="1875268750">
      <w:bodyDiv w:val="1"/>
      <w:marLeft w:val="0"/>
      <w:marRight w:val="0"/>
      <w:marTop w:val="0"/>
      <w:marBottom w:val="0"/>
      <w:divBdr>
        <w:top w:val="none" w:sz="0" w:space="0" w:color="auto"/>
        <w:left w:val="none" w:sz="0" w:space="0" w:color="auto"/>
        <w:bottom w:val="none" w:sz="0" w:space="0" w:color="auto"/>
        <w:right w:val="none" w:sz="0" w:space="0" w:color="auto"/>
      </w:divBdr>
    </w:div>
    <w:div w:id="1882133352">
      <w:bodyDiv w:val="1"/>
      <w:marLeft w:val="0"/>
      <w:marRight w:val="0"/>
      <w:marTop w:val="0"/>
      <w:marBottom w:val="0"/>
      <w:divBdr>
        <w:top w:val="none" w:sz="0" w:space="0" w:color="auto"/>
        <w:left w:val="none" w:sz="0" w:space="0" w:color="auto"/>
        <w:bottom w:val="none" w:sz="0" w:space="0" w:color="auto"/>
        <w:right w:val="none" w:sz="0" w:space="0" w:color="auto"/>
      </w:divBdr>
    </w:div>
    <w:div w:id="2021467615">
      <w:bodyDiv w:val="1"/>
      <w:marLeft w:val="0"/>
      <w:marRight w:val="0"/>
      <w:marTop w:val="0"/>
      <w:marBottom w:val="0"/>
      <w:divBdr>
        <w:top w:val="none" w:sz="0" w:space="0" w:color="auto"/>
        <w:left w:val="none" w:sz="0" w:space="0" w:color="auto"/>
        <w:bottom w:val="none" w:sz="0" w:space="0" w:color="auto"/>
        <w:right w:val="none" w:sz="0" w:space="0" w:color="auto"/>
      </w:divBdr>
    </w:div>
    <w:div w:id="2036495914">
      <w:bodyDiv w:val="1"/>
      <w:marLeft w:val="0"/>
      <w:marRight w:val="0"/>
      <w:marTop w:val="0"/>
      <w:marBottom w:val="0"/>
      <w:divBdr>
        <w:top w:val="none" w:sz="0" w:space="0" w:color="auto"/>
        <w:left w:val="none" w:sz="0" w:space="0" w:color="auto"/>
        <w:bottom w:val="none" w:sz="0" w:space="0" w:color="auto"/>
        <w:right w:val="none" w:sz="0" w:space="0" w:color="auto"/>
      </w:divBdr>
    </w:div>
    <w:div w:id="20830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309CAF-4722-4988-A0FF-C921D95BE538}">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AABFF-4A67-4C2D-A6E8-72CACDAF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6432</Words>
  <Characters>36664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dmwachi</dc:creator>
  <cp:lastModifiedBy>Leonie Try</cp:lastModifiedBy>
  <cp:revision>6</cp:revision>
  <cp:lastPrinted>2014-09-04T13:08:00Z</cp:lastPrinted>
  <dcterms:created xsi:type="dcterms:W3CDTF">2014-12-18T11:40:00Z</dcterms:created>
  <dcterms:modified xsi:type="dcterms:W3CDTF">2014-12-18T11:47:00Z</dcterms:modified>
</cp:coreProperties>
</file>