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Default="002B6362" w:rsidP="002B6362">
      <w:pPr>
        <w:pStyle w:val="NoSpacing"/>
        <w:jc w:val="center"/>
        <w:rPr>
          <w:sz w:val="24"/>
        </w:rPr>
      </w:pPr>
    </w:p>
    <w:p w:rsidR="002B6362" w:rsidRPr="001F5E27" w:rsidRDefault="00725738" w:rsidP="002B6362">
      <w:pPr>
        <w:pStyle w:val="NoSpacing"/>
        <w:jc w:val="center"/>
        <w:rPr>
          <w:rFonts w:ascii="Arial" w:hAnsi="Arial" w:cs="Arial"/>
          <w:sz w:val="32"/>
        </w:rPr>
      </w:pPr>
      <w:r w:rsidRPr="001F5E27">
        <w:rPr>
          <w:rFonts w:ascii="Arial" w:hAnsi="Arial" w:cs="Arial"/>
          <w:sz w:val="32"/>
        </w:rPr>
        <w:t>Final</w:t>
      </w:r>
      <w:r w:rsidR="002B6362" w:rsidRPr="001F5E27">
        <w:rPr>
          <w:rFonts w:ascii="Arial" w:hAnsi="Arial" w:cs="Arial"/>
          <w:sz w:val="32"/>
        </w:rPr>
        <w:t xml:space="preserve"> Report </w:t>
      </w:r>
    </w:p>
    <w:p w:rsidR="00D0312E" w:rsidRDefault="00D0312E" w:rsidP="002B6362">
      <w:pPr>
        <w:pStyle w:val="NoSpacing"/>
        <w:jc w:val="center"/>
        <w:rPr>
          <w:rFonts w:ascii="Arial" w:hAnsi="Arial" w:cs="Arial"/>
          <w:b/>
          <w:sz w:val="32"/>
        </w:rPr>
      </w:pPr>
    </w:p>
    <w:p w:rsidR="001F5E27" w:rsidRDefault="002B6362" w:rsidP="002B6362">
      <w:pPr>
        <w:pStyle w:val="NoSpacing"/>
        <w:jc w:val="center"/>
        <w:rPr>
          <w:rFonts w:ascii="Arial" w:hAnsi="Arial" w:cs="Arial"/>
          <w:b/>
          <w:sz w:val="32"/>
        </w:rPr>
      </w:pPr>
      <w:r w:rsidRPr="001F5E27">
        <w:rPr>
          <w:rFonts w:ascii="Arial" w:hAnsi="Arial" w:cs="Arial"/>
          <w:b/>
          <w:sz w:val="32"/>
        </w:rPr>
        <w:t xml:space="preserve">Evaluation of </w:t>
      </w:r>
      <w:proofErr w:type="spellStart"/>
      <w:r w:rsidR="00306348" w:rsidRPr="001F5E27">
        <w:rPr>
          <w:rFonts w:ascii="Arial" w:hAnsi="Arial" w:cs="Arial"/>
          <w:b/>
          <w:sz w:val="32"/>
        </w:rPr>
        <w:t>HelpAge</w:t>
      </w:r>
      <w:proofErr w:type="spellEnd"/>
      <w:r w:rsidR="00306348" w:rsidRPr="001F5E27">
        <w:rPr>
          <w:rFonts w:ascii="Arial" w:hAnsi="Arial" w:cs="Arial"/>
          <w:b/>
          <w:sz w:val="32"/>
        </w:rPr>
        <w:t xml:space="preserve"> International</w:t>
      </w:r>
      <w:r w:rsidRPr="001F5E27">
        <w:rPr>
          <w:rFonts w:ascii="Arial" w:hAnsi="Arial" w:cs="Arial"/>
          <w:b/>
          <w:sz w:val="32"/>
        </w:rPr>
        <w:t xml:space="preserve">’s </w:t>
      </w:r>
    </w:p>
    <w:p w:rsidR="002B6362" w:rsidRPr="001F5E27" w:rsidRDefault="001F5E27" w:rsidP="002B6362">
      <w:pPr>
        <w:pStyle w:val="NoSpacing"/>
        <w:jc w:val="center"/>
        <w:rPr>
          <w:rFonts w:ascii="Arial" w:hAnsi="Arial" w:cs="Arial"/>
          <w:b/>
          <w:sz w:val="32"/>
        </w:rPr>
      </w:pPr>
      <w:r>
        <w:rPr>
          <w:rFonts w:ascii="Arial" w:hAnsi="Arial" w:cs="Arial"/>
          <w:b/>
          <w:sz w:val="32"/>
        </w:rPr>
        <w:t>ECHO-F</w:t>
      </w:r>
      <w:r w:rsidR="00AB0037" w:rsidRPr="001F5E27">
        <w:rPr>
          <w:rFonts w:ascii="Arial" w:hAnsi="Arial" w:cs="Arial"/>
          <w:b/>
          <w:sz w:val="32"/>
        </w:rPr>
        <w:t xml:space="preserve">unded </w:t>
      </w:r>
      <w:r w:rsidR="005639D4">
        <w:rPr>
          <w:rFonts w:ascii="Arial" w:hAnsi="Arial" w:cs="Arial"/>
          <w:b/>
          <w:sz w:val="32"/>
        </w:rPr>
        <w:t>Project</w:t>
      </w:r>
      <w:r w:rsidR="002B6362" w:rsidRPr="001F5E27">
        <w:rPr>
          <w:rFonts w:ascii="Arial" w:hAnsi="Arial" w:cs="Arial"/>
          <w:b/>
          <w:sz w:val="32"/>
        </w:rPr>
        <w:t xml:space="preserve"> (2011-2012)</w:t>
      </w:r>
    </w:p>
    <w:p w:rsidR="002B6362" w:rsidRPr="001F5E27" w:rsidRDefault="002B6362" w:rsidP="002B6362">
      <w:pPr>
        <w:pStyle w:val="NoSpacing"/>
        <w:jc w:val="center"/>
        <w:rPr>
          <w:rFonts w:ascii="Arial" w:hAnsi="Arial" w:cs="Arial"/>
          <w:sz w:val="32"/>
        </w:rPr>
      </w:pPr>
    </w:p>
    <w:p w:rsidR="002B6362" w:rsidRPr="001F5E27" w:rsidRDefault="002B6362" w:rsidP="002B6362">
      <w:pPr>
        <w:pStyle w:val="NoSpacing"/>
        <w:jc w:val="center"/>
        <w:rPr>
          <w:rFonts w:ascii="Arial" w:hAnsi="Arial" w:cs="Arial"/>
          <w:sz w:val="32"/>
        </w:rPr>
      </w:pPr>
      <w:r w:rsidRPr="001F5E27">
        <w:rPr>
          <w:rFonts w:ascii="Arial" w:hAnsi="Arial" w:cs="Arial"/>
          <w:sz w:val="32"/>
        </w:rPr>
        <w:t>March 2013</w:t>
      </w: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p>
    <w:p w:rsidR="002B6362" w:rsidRDefault="002B6362" w:rsidP="002B6362">
      <w:pPr>
        <w:pStyle w:val="NoSpacing"/>
        <w:jc w:val="right"/>
      </w:pPr>
      <w:r w:rsidRPr="00131740">
        <w:t>A</w:t>
      </w:r>
      <w:r>
        <w:t xml:space="preserve">ndrew </w:t>
      </w:r>
      <w:proofErr w:type="spellStart"/>
      <w:r w:rsidRPr="00131740">
        <w:t>Lawday</w:t>
      </w:r>
      <w:proofErr w:type="spellEnd"/>
      <w:r>
        <w:t xml:space="preserve"> </w:t>
      </w:r>
      <w:r w:rsidR="00CD42C8">
        <w:t>Evaluat</w:t>
      </w:r>
      <w:r w:rsidR="002122F3">
        <w:t>ions</w:t>
      </w:r>
    </w:p>
    <w:p w:rsidR="002B6362" w:rsidRDefault="002B6362" w:rsidP="002B6362">
      <w:pPr>
        <w:pStyle w:val="NoSpacing"/>
        <w:jc w:val="right"/>
      </w:pPr>
      <w:r>
        <w:t>6A Temple Road, London NW2 6QB</w:t>
      </w:r>
    </w:p>
    <w:p w:rsidR="002B6362" w:rsidRDefault="002B6362" w:rsidP="002B6362">
      <w:pPr>
        <w:pStyle w:val="NoSpacing"/>
        <w:jc w:val="right"/>
      </w:pPr>
      <w:r>
        <w:t xml:space="preserve">Email: </w:t>
      </w:r>
      <w:r w:rsidR="00725738" w:rsidRPr="00B3090C">
        <w:t>andrew@lawday.info</w:t>
      </w:r>
    </w:p>
    <w:p w:rsidR="00725738" w:rsidRDefault="00725738" w:rsidP="002B6362">
      <w:pPr>
        <w:pStyle w:val="NoSpacing"/>
        <w:jc w:val="right"/>
      </w:pPr>
      <w:r>
        <w:t xml:space="preserve">Web: </w:t>
      </w:r>
      <w:r w:rsidRPr="00B3090C">
        <w:t>www.lawday.info</w:t>
      </w:r>
      <w:r>
        <w:t xml:space="preserve"> </w:t>
      </w:r>
    </w:p>
    <w:p w:rsidR="002B6362" w:rsidRDefault="002B6362" w:rsidP="00C47758">
      <w:pPr>
        <w:pStyle w:val="NoSpacing"/>
      </w:pPr>
    </w:p>
    <w:p w:rsidR="009763AD" w:rsidRPr="008409C3" w:rsidRDefault="008409C3" w:rsidP="008409C3">
      <w:pPr>
        <w:pStyle w:val="Heading1"/>
        <w:rPr>
          <w:color w:val="auto"/>
        </w:rPr>
      </w:pPr>
      <w:bookmarkStart w:id="0" w:name="_Toc352225929"/>
      <w:r w:rsidRPr="008409C3">
        <w:rPr>
          <w:color w:val="auto"/>
        </w:rPr>
        <w:t>Executive Summary</w:t>
      </w:r>
      <w:bookmarkEnd w:id="0"/>
    </w:p>
    <w:p w:rsidR="007F4997" w:rsidRPr="007F4997" w:rsidRDefault="007F4997" w:rsidP="007F4997">
      <w:pPr>
        <w:pStyle w:val="NoSpacing"/>
      </w:pPr>
      <w:r w:rsidRPr="007F4997">
        <w:t xml:space="preserve">In recent years, the IASC and HAI have worked to include older people in the humanitarian response. In 2007, the IASC WG commissioned a review by HAI, leading to recommendations. In October 2010, the IASC commissioned a global progress review by HAI and WHO, which found needs of older people were still not systematically addressed. In November 2010, the IASC WG published six Final Action Points and Conclusions aimed at including older people. </w:t>
      </w:r>
    </w:p>
    <w:p w:rsidR="007F4997" w:rsidRPr="007F4997" w:rsidRDefault="007F4997" w:rsidP="007F4997">
      <w:pPr>
        <w:pStyle w:val="NoSpacing"/>
      </w:pPr>
    </w:p>
    <w:p w:rsidR="007F4997" w:rsidRPr="007F4997" w:rsidRDefault="007F4997" w:rsidP="007F4997">
      <w:pPr>
        <w:pStyle w:val="NoSpacing"/>
      </w:pPr>
      <w:r w:rsidRPr="007F4997">
        <w:lastRenderedPageBreak/>
        <w:t xml:space="preserve">In this context, HAI designed a project aimed at building a more inclusive humanitarian response, and received funding from ECHO for the project to run for 18 months from mid-2011 until end- 2012. The project undertook to deliver humanitarian training, practical guidance, policy publications, needs assessments, and cluster advocacy. </w:t>
      </w:r>
    </w:p>
    <w:p w:rsidR="007F4997" w:rsidRPr="007F4997" w:rsidRDefault="007F4997" w:rsidP="007F4997">
      <w:pPr>
        <w:pStyle w:val="NoSpacing"/>
      </w:pPr>
    </w:p>
    <w:p w:rsidR="007F4997" w:rsidRPr="007F4997" w:rsidRDefault="007F4997" w:rsidP="007F4997">
      <w:pPr>
        <w:pStyle w:val="NoSpacing"/>
      </w:pPr>
      <w:r w:rsidRPr="007F4997">
        <w:t xml:space="preserve">This evaluation, conducted February-March 2013, seeks to provide an independent assessment of HAI’s ECHO-funded project and its distinct areas of activity. Using </w:t>
      </w:r>
      <w:r w:rsidRPr="007F4997">
        <w:rPr>
          <w:bCs/>
          <w:iCs/>
        </w:rPr>
        <w:t xml:space="preserve">OECD/DAC evaluation criteria and other applicable concepts, </w:t>
      </w:r>
      <w:r w:rsidRPr="007F4997">
        <w:t xml:space="preserve">data was collected from HAI Implementers, advocacy targets, and strategic partners. It was collected using a document review, verification of data, in-depth telephone/Skype interviews with 36 people, and written email responses from 10. A case study focused on Pakistan. The findings are based on detailed analysis and a synthesis analysis. Conclusions and recommendations were shaped in discussion with HAI key staff. </w:t>
      </w:r>
    </w:p>
    <w:p w:rsidR="007F4997" w:rsidRPr="007F4997" w:rsidRDefault="007F4997" w:rsidP="007F4997">
      <w:pPr>
        <w:pStyle w:val="NoSpacing"/>
      </w:pPr>
    </w:p>
    <w:p w:rsidR="007F4997" w:rsidRPr="007F4997" w:rsidRDefault="007F4997" w:rsidP="007F4997">
      <w:pPr>
        <w:pStyle w:val="NoSpacing"/>
      </w:pPr>
      <w:r w:rsidRPr="007F4997">
        <w:t xml:space="preserve">In the first work stream, HAI undertook to provide expertise to clusters and partners to mainstream age and cross-cutting issues. HAI’s work here was relevant and appropriate within limits, and consistent with HAI’s strategy. Its provision of expertise was effective at delivering a range of outputs, and led to the development and piloting of expert activities and tools which may now be implemented more widely. HAI’s provision of expertise has already contributed to several important outcomes. HAI must consider how its expertise can help to bring changes at the field level, and establish a mechanism for follow up and monitoring outcomes. </w:t>
      </w:r>
    </w:p>
    <w:p w:rsidR="007F4997" w:rsidRPr="007F4997" w:rsidRDefault="007F4997" w:rsidP="007F4997">
      <w:pPr>
        <w:pStyle w:val="NoSpacing"/>
      </w:pPr>
    </w:p>
    <w:p w:rsidR="007F4997" w:rsidRPr="007F4997" w:rsidRDefault="007F4997" w:rsidP="007F4997">
      <w:pPr>
        <w:pStyle w:val="NoSpacing"/>
      </w:pPr>
      <w:r w:rsidRPr="007F4997">
        <w:t xml:space="preserve">In the second work stream, HAI undertook to improve assessments in four field locations. Improving needs assessments is consistent with increasing humanitarian capacity to address needs, as well as appropriate for HAI, for clusters, and for partners—despite structural constraints. HAI’s work to improve needs assessments was at least partially successful, and provided a viable way to accurately estimate the needs of older people. This work also contributed to various positive outcomes, including enhanced access to funding streams.    </w:t>
      </w:r>
    </w:p>
    <w:p w:rsidR="007F4997" w:rsidRPr="007F4997" w:rsidRDefault="007F4997" w:rsidP="007F4997">
      <w:pPr>
        <w:pStyle w:val="NoSpacing"/>
      </w:pPr>
    </w:p>
    <w:p w:rsidR="007F4997" w:rsidRPr="007F4997" w:rsidRDefault="007F4997" w:rsidP="007F4997">
      <w:pPr>
        <w:pStyle w:val="NoSpacing"/>
      </w:pPr>
      <w:r w:rsidRPr="007F4997">
        <w:t xml:space="preserve">In a third work stream, HAI undertook to foster a more integrated approach to cross-cutting issues. </w:t>
      </w:r>
    </w:p>
    <w:p w:rsidR="007F4997" w:rsidRPr="007F4997" w:rsidRDefault="007F4997" w:rsidP="007F4997">
      <w:pPr>
        <w:pStyle w:val="NoSpacing"/>
      </w:pPr>
      <w:r w:rsidRPr="007F4997">
        <w:t xml:space="preserve">This objective is consistent with the project’s objective, and relevant to the IASC, clusters, and advocacy partners. Work to integrate cross-cutting issues has been very effective; most significantly, HAI ‘redefined’ age and gender as the ‘universal determinants of vulnerability’ in a draft framework document. An important strategic relationship was agreed with HI, which works for the inclusion of people with disabilities. HAI contributed to a range of outcomes, although important further steps are needed to integrate cross-cutting issues.   </w:t>
      </w:r>
    </w:p>
    <w:p w:rsidR="007F4997" w:rsidRPr="007F4997" w:rsidRDefault="007F4997" w:rsidP="007F4997">
      <w:pPr>
        <w:pStyle w:val="NoSpacing"/>
      </w:pPr>
    </w:p>
    <w:p w:rsidR="007F4997" w:rsidRPr="007F4997" w:rsidRDefault="007F4997" w:rsidP="007F4997">
      <w:pPr>
        <w:pStyle w:val="NoSpacing"/>
      </w:pPr>
      <w:r w:rsidRPr="007F4997">
        <w:t xml:space="preserve">Training: HOPE training responds to requirements, and has built awareness and willingness among participants, generating numerous requests for more training and technical advice. </w:t>
      </w:r>
      <w:r w:rsidRPr="007F4997">
        <w:rPr>
          <w:bCs/>
        </w:rPr>
        <w:t xml:space="preserve">HAI should invest in further training </w:t>
      </w:r>
      <w:r w:rsidRPr="007F4997">
        <w:t xml:space="preserve">aimed at changing the larger system, targeted strategically, following up with participants, and maintaining quality. </w:t>
      </w:r>
    </w:p>
    <w:p w:rsidR="007F4997" w:rsidRPr="007F4997" w:rsidRDefault="007F4997" w:rsidP="007F4997">
      <w:pPr>
        <w:pStyle w:val="NoSpacing"/>
      </w:pPr>
    </w:p>
    <w:p w:rsidR="007F4997" w:rsidRPr="007F4997" w:rsidRDefault="007F4997" w:rsidP="007F4997">
      <w:pPr>
        <w:pStyle w:val="NoSpacing"/>
      </w:pPr>
      <w:r w:rsidRPr="007F4997">
        <w:t>Technical Guidance: HAI produced and began disseminating new technical guidelines on health, livelihoods, and needs assessments, which could contribute to change in HAI programmes and among willing partners. HAI should continue to develop and share technical guidance, which are</w:t>
      </w:r>
    </w:p>
    <w:p w:rsidR="007F4997" w:rsidRPr="007F4997" w:rsidRDefault="007F4997" w:rsidP="007F4997">
      <w:pPr>
        <w:pStyle w:val="NoSpacing"/>
      </w:pPr>
      <w:proofErr w:type="gramStart"/>
      <w:r w:rsidRPr="007F4997">
        <w:t>targeted</w:t>
      </w:r>
      <w:proofErr w:type="gramEnd"/>
      <w:r w:rsidRPr="007F4997">
        <w:t xml:space="preserve"> at willing humanitarian actors, embedded in flagship guidelines and tools, disseminated at field level and translated into programming, and tracked for utilization. </w:t>
      </w:r>
    </w:p>
    <w:p w:rsidR="007F4997" w:rsidRPr="007F4997" w:rsidRDefault="007F4997" w:rsidP="007F4997">
      <w:pPr>
        <w:pStyle w:val="NoSpacing"/>
      </w:pPr>
    </w:p>
    <w:p w:rsidR="007F4997" w:rsidRPr="007F4997" w:rsidRDefault="007F4997" w:rsidP="007F4997">
      <w:pPr>
        <w:pStyle w:val="NoSpacing"/>
      </w:pPr>
      <w:r w:rsidRPr="007F4997">
        <w:t xml:space="preserve">Policy Publications: HAI produced two effective policy publications. Both were well received by donors and humanitarian agencies, served to raise the profile of older people, and demonstrated HAI’s expertise. HAI could produce additional policy publications, focused on defined policy challenges that most affect older people in disasters, and clarify its overall policy messages. </w:t>
      </w:r>
    </w:p>
    <w:p w:rsidR="007F4997" w:rsidRPr="007F4997" w:rsidRDefault="007F4997" w:rsidP="007F4997">
      <w:pPr>
        <w:pStyle w:val="NoSpacing"/>
      </w:pPr>
    </w:p>
    <w:p w:rsidR="007F4997" w:rsidRPr="007F4997" w:rsidRDefault="007F4997" w:rsidP="007F4997">
      <w:pPr>
        <w:pStyle w:val="NoSpacing"/>
      </w:pPr>
      <w:r w:rsidRPr="007F4997">
        <w:t xml:space="preserve">Expert Deployments: HAI’s direct deployments of experts to global clusters, arranged under this project, are a particularly effective way to build the system’s capacity. HAI will seek to provide additional capacity, which should be targeted at all relevant clusters and aim to maximize impact by offering combined expertise in gender, age, and disability in concert with existing standby mechanisms and deploying early in a crisis. </w:t>
      </w:r>
    </w:p>
    <w:p w:rsidR="007F4997" w:rsidRPr="007F4997" w:rsidRDefault="007F4997" w:rsidP="007F4997">
      <w:pPr>
        <w:pStyle w:val="NoSpacing"/>
      </w:pPr>
    </w:p>
    <w:p w:rsidR="007F4997" w:rsidRPr="007F4997" w:rsidRDefault="007F4997" w:rsidP="007F4997">
      <w:pPr>
        <w:pStyle w:val="NoSpacing"/>
      </w:pPr>
      <w:proofErr w:type="gramStart"/>
      <w:r w:rsidRPr="007F4997">
        <w:t>Needs Assessments: HAI produced technical guidelines on needs assessment, providing a way to estimate the needs of older people, and enabling participants in four test countries to conduct needs assessments.</w:t>
      </w:r>
      <w:proofErr w:type="gramEnd"/>
      <w:r w:rsidRPr="007F4997">
        <w:t xml:space="preserve"> HAI aims to roll out its approach, which should be carried out by HAI in its own programmes, strengthened with HAI teams and partners in four pilot countries, and contribute to strengthening needs assessment and SADD policies and practices globally. </w:t>
      </w:r>
    </w:p>
    <w:p w:rsidR="007F4997" w:rsidRPr="007F4997" w:rsidRDefault="007F4997" w:rsidP="007F4997">
      <w:pPr>
        <w:pStyle w:val="NoSpacing"/>
      </w:pPr>
    </w:p>
    <w:p w:rsidR="007F4997" w:rsidRPr="007F4997" w:rsidRDefault="007F4997" w:rsidP="007F4997">
      <w:pPr>
        <w:pStyle w:val="NoSpacing"/>
      </w:pPr>
      <w:r w:rsidRPr="007F4997">
        <w:t xml:space="preserve">Integrating Issues: HAI’s work to develop a more integrated approach to cross-cutting issues achieved considerable value, contributed to a major policy development, and strengthened strategic partnerships, with HI in particular. HAI should see this process to completion, aiming for all global clusters to mainstream gender, age, and disability; aiming for policy changes to be implemented at the field level; ensuring that responsibility for integrating cross-cutting issues lies clearly with the IASC, OCHA, and HCs; and developing joint initiatives among HAI and strategic partners to support mainstreaming and a people-centred approach. </w:t>
      </w:r>
    </w:p>
    <w:p w:rsidR="007F4997" w:rsidRPr="007F4997" w:rsidRDefault="007F4997" w:rsidP="007F4997">
      <w:pPr>
        <w:pStyle w:val="NoSpacing"/>
      </w:pPr>
    </w:p>
    <w:p w:rsidR="007F4997" w:rsidRPr="007F4997" w:rsidRDefault="007F4997" w:rsidP="007F4997">
      <w:pPr>
        <w:pStyle w:val="NoSpacing"/>
      </w:pPr>
      <w:r w:rsidRPr="007F4997">
        <w:t xml:space="preserve">Relevance: HAI’s work has been well aligned to its objective in support of its goal. It has been appropriate for humanitarian clusters, partners, and HAI country teams. However, the goal remains distant and progress difficult to quantify, so HAI should clarify a roadmap for achieving expected impacts; clarify which actors need to be targeted; and strategically balance assisting older people directly, providing expertise; and strengthening inclusion. </w:t>
      </w:r>
    </w:p>
    <w:p w:rsidR="007F4997" w:rsidRPr="007F4997" w:rsidRDefault="007F4997" w:rsidP="007F4997">
      <w:pPr>
        <w:pStyle w:val="NoSpacing"/>
      </w:pPr>
    </w:p>
    <w:p w:rsidR="007F4997" w:rsidRPr="007F4997" w:rsidRDefault="007F4997" w:rsidP="007F4997">
      <w:pPr>
        <w:pStyle w:val="NoSpacing"/>
      </w:pPr>
      <w:r w:rsidRPr="007F4997">
        <w:t xml:space="preserve">Effectiveness: In this short project, HAI formalized and initiated a process that has begun to increase the capacity of humanitarians to address the needs of older (and disabled) people. Its effectiveness depends on the combination of activities in support of changing the awareness, attitudes, competencies, and actions of specifically targeted humanitarian actors. The work has been relatively cost-effective but requires continued funding for value created to be sustained. </w:t>
      </w:r>
    </w:p>
    <w:p w:rsidR="007F4997" w:rsidRPr="007F4997" w:rsidRDefault="007F4997" w:rsidP="007F4997">
      <w:pPr>
        <w:pStyle w:val="NoSpacing"/>
      </w:pPr>
    </w:p>
    <w:p w:rsidR="007F4997" w:rsidRPr="007F4997" w:rsidRDefault="007F4997" w:rsidP="007F4997">
      <w:pPr>
        <w:pStyle w:val="NoSpacing"/>
      </w:pPr>
      <w:r w:rsidRPr="007F4997">
        <w:t>Outcomes: The project and its diverse activities have contributed, often significantly, to achieving numerous outcomes after 18 months of activity. These include sensitization of 486+ field staff and policy makers worldwide; reported changes in policies and practices in some locations; a means to include older people’s needs in needs assessments; participants in the testing conducting needs assessments; a major policy development in support of integration; and increased awareness about older people among humanitarian policy makers. Looking forward, numerous outcomes remain to be achieved on the path towards inclusion of older people in humanitarian response.</w:t>
      </w:r>
    </w:p>
    <w:p w:rsidR="007F4997" w:rsidRPr="007F4997" w:rsidRDefault="007F4997" w:rsidP="007F4997">
      <w:pPr>
        <w:pStyle w:val="NoSpacing"/>
      </w:pPr>
    </w:p>
    <w:p w:rsidR="007F4997" w:rsidRPr="007F4997" w:rsidRDefault="007F4997" w:rsidP="007F4997">
      <w:pPr>
        <w:pStyle w:val="NoSpacing"/>
      </w:pPr>
      <w:r w:rsidRPr="007F4997">
        <w:t xml:space="preserve">Outcome Mapping: The Project was designed and managed according to ECHO’s log frame and requirements for results reporting, which may not be the optimal framework for managing policy and practice advocacy activity. HAI should consider using Outcome Mapping to design, implement, and assess its continued work to build an inclusive humanitarian response. </w:t>
      </w:r>
    </w:p>
    <w:p w:rsidR="007F4997" w:rsidRPr="007F4997" w:rsidRDefault="007F4997" w:rsidP="007F4997">
      <w:pPr>
        <w:pStyle w:val="NoSpacing"/>
      </w:pPr>
    </w:p>
    <w:p w:rsidR="007F4997" w:rsidRPr="007F4997" w:rsidRDefault="007F4997" w:rsidP="007F4997">
      <w:pPr>
        <w:pStyle w:val="NoSpacing"/>
      </w:pPr>
      <w:r w:rsidRPr="007F4997">
        <w:t>ECHO/Donors:</w:t>
      </w:r>
      <w:r w:rsidRPr="007F4997">
        <w:rPr>
          <w:b/>
        </w:rPr>
        <w:t xml:space="preserve"> </w:t>
      </w:r>
      <w:r w:rsidRPr="007F4997">
        <w:t>ECHO is principled and impartial humanitarian donor, supportive of the need to build a more inclusive humanitarian response, has engaged actively with HAI’s policy and practice activities under this project in diverse countries, and funded this innovative first step to bring about change and generated valuable outcomes. It should fund the continuation of the work undertaken in this project, or find other ways to build upon the value achieved in this project. Like-minded donors, such as DFID should consider how they might engage to support this work.</w:t>
      </w:r>
    </w:p>
    <w:p w:rsidR="007F4997" w:rsidRPr="007F4997" w:rsidRDefault="007F4997" w:rsidP="007F4997">
      <w:pPr>
        <w:pStyle w:val="NoSpacing"/>
      </w:pPr>
    </w:p>
    <w:p w:rsidR="008409C3" w:rsidRDefault="008409C3">
      <w:pPr>
        <w:rPr>
          <w:rFonts w:asciiTheme="majorHAnsi" w:eastAsiaTheme="majorEastAsia" w:hAnsiTheme="majorHAnsi" w:cstheme="majorBidi"/>
          <w:b/>
          <w:bCs/>
          <w:sz w:val="28"/>
          <w:szCs w:val="28"/>
        </w:rPr>
      </w:pPr>
      <w:r>
        <w:br w:type="page"/>
      </w:r>
    </w:p>
    <w:p w:rsidR="00C505A1" w:rsidRDefault="00C505A1" w:rsidP="00C505A1">
      <w:pPr>
        <w:pStyle w:val="Heading1"/>
        <w:rPr>
          <w:color w:val="auto"/>
        </w:rPr>
      </w:pPr>
      <w:bookmarkStart w:id="1" w:name="_Toc352225693"/>
      <w:bookmarkStart w:id="2" w:name="_Toc352225930"/>
      <w:r>
        <w:rPr>
          <w:color w:val="auto"/>
        </w:rPr>
        <w:lastRenderedPageBreak/>
        <w:t>Contents</w:t>
      </w:r>
      <w:bookmarkEnd w:id="1"/>
      <w:bookmarkEnd w:id="2"/>
    </w:p>
    <w:sdt>
      <w:sdtPr>
        <w:id w:val="-2051135636"/>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rsidR="00C505A1" w:rsidRDefault="00C505A1">
          <w:pPr>
            <w:pStyle w:val="TOCHeading"/>
          </w:pPr>
        </w:p>
        <w:p w:rsidR="00EB4B66" w:rsidRDefault="00C505A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52225929" w:history="1">
            <w:r w:rsidR="00EB4B66" w:rsidRPr="00A94D7A">
              <w:rPr>
                <w:rStyle w:val="Hyperlink"/>
                <w:noProof/>
              </w:rPr>
              <w:t>Executive Summary</w:t>
            </w:r>
            <w:r w:rsidR="00EB4B66">
              <w:rPr>
                <w:noProof/>
                <w:webHidden/>
              </w:rPr>
              <w:tab/>
            </w:r>
            <w:r w:rsidR="00EB4B66">
              <w:rPr>
                <w:noProof/>
                <w:webHidden/>
              </w:rPr>
              <w:fldChar w:fldCharType="begin"/>
            </w:r>
            <w:r w:rsidR="00EB4B66">
              <w:rPr>
                <w:noProof/>
                <w:webHidden/>
              </w:rPr>
              <w:instrText xml:space="preserve"> PAGEREF _Toc352225929 \h </w:instrText>
            </w:r>
            <w:r w:rsidR="00EB4B66">
              <w:rPr>
                <w:noProof/>
                <w:webHidden/>
              </w:rPr>
            </w:r>
            <w:r w:rsidR="00EB4B66">
              <w:rPr>
                <w:noProof/>
                <w:webHidden/>
              </w:rPr>
              <w:fldChar w:fldCharType="separate"/>
            </w:r>
            <w:r w:rsidR="00EB4B66">
              <w:rPr>
                <w:noProof/>
                <w:webHidden/>
              </w:rPr>
              <w:t>2</w:t>
            </w:r>
            <w:r w:rsidR="00EB4B66">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0" w:history="1">
            <w:r w:rsidRPr="00A94D7A">
              <w:rPr>
                <w:rStyle w:val="Hyperlink"/>
                <w:noProof/>
              </w:rPr>
              <w:t>Contents</w:t>
            </w:r>
            <w:r>
              <w:rPr>
                <w:noProof/>
                <w:webHidden/>
              </w:rPr>
              <w:tab/>
            </w:r>
            <w:r>
              <w:rPr>
                <w:noProof/>
                <w:webHidden/>
              </w:rPr>
              <w:fldChar w:fldCharType="begin"/>
            </w:r>
            <w:r>
              <w:rPr>
                <w:noProof/>
                <w:webHidden/>
              </w:rPr>
              <w:instrText xml:space="preserve"> PAGEREF _Toc352225930 \h </w:instrText>
            </w:r>
            <w:r>
              <w:rPr>
                <w:noProof/>
                <w:webHidden/>
              </w:rPr>
            </w:r>
            <w:r>
              <w:rPr>
                <w:noProof/>
                <w:webHidden/>
              </w:rPr>
              <w:fldChar w:fldCharType="separate"/>
            </w:r>
            <w:r>
              <w:rPr>
                <w:noProof/>
                <w:webHidden/>
              </w:rPr>
              <w:t>5</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1" w:history="1">
            <w:r w:rsidRPr="00A94D7A">
              <w:rPr>
                <w:rStyle w:val="Hyperlink"/>
                <w:noProof/>
              </w:rPr>
              <w:t>Introduction</w:t>
            </w:r>
            <w:r>
              <w:rPr>
                <w:noProof/>
                <w:webHidden/>
              </w:rPr>
              <w:tab/>
            </w:r>
            <w:r>
              <w:rPr>
                <w:noProof/>
                <w:webHidden/>
              </w:rPr>
              <w:fldChar w:fldCharType="begin"/>
            </w:r>
            <w:r>
              <w:rPr>
                <w:noProof/>
                <w:webHidden/>
              </w:rPr>
              <w:instrText xml:space="preserve"> PAGEREF _Toc352225931 \h </w:instrText>
            </w:r>
            <w:r>
              <w:rPr>
                <w:noProof/>
                <w:webHidden/>
              </w:rPr>
            </w:r>
            <w:r>
              <w:rPr>
                <w:noProof/>
                <w:webHidden/>
              </w:rPr>
              <w:fldChar w:fldCharType="separate"/>
            </w:r>
            <w:r>
              <w:rPr>
                <w:noProof/>
                <w:webHidden/>
              </w:rPr>
              <w:t>6</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2" w:history="1">
            <w:r w:rsidRPr="00A94D7A">
              <w:rPr>
                <w:rStyle w:val="Hyperlink"/>
                <w:noProof/>
              </w:rPr>
              <w:t>Main Findings</w:t>
            </w:r>
            <w:r>
              <w:rPr>
                <w:noProof/>
                <w:webHidden/>
              </w:rPr>
              <w:tab/>
            </w:r>
            <w:r>
              <w:rPr>
                <w:noProof/>
                <w:webHidden/>
              </w:rPr>
              <w:fldChar w:fldCharType="begin"/>
            </w:r>
            <w:r>
              <w:rPr>
                <w:noProof/>
                <w:webHidden/>
              </w:rPr>
              <w:instrText xml:space="preserve"> PAGEREF _Toc352225932 \h </w:instrText>
            </w:r>
            <w:r>
              <w:rPr>
                <w:noProof/>
                <w:webHidden/>
              </w:rPr>
            </w:r>
            <w:r>
              <w:rPr>
                <w:noProof/>
                <w:webHidden/>
              </w:rPr>
              <w:fldChar w:fldCharType="separate"/>
            </w:r>
            <w:r>
              <w:rPr>
                <w:noProof/>
                <w:webHidden/>
              </w:rPr>
              <w:t>10</w:t>
            </w:r>
            <w:r>
              <w:rPr>
                <w:noProof/>
                <w:webHidden/>
              </w:rPr>
              <w:fldChar w:fldCharType="end"/>
            </w:r>
          </w:hyperlink>
        </w:p>
        <w:p w:rsidR="00EB4B66" w:rsidRDefault="00EB4B66">
          <w:pPr>
            <w:pStyle w:val="TOC3"/>
            <w:tabs>
              <w:tab w:val="right" w:leader="dot" w:pos="9016"/>
            </w:tabs>
            <w:rPr>
              <w:rFonts w:eastAsiaTheme="minorEastAsia"/>
              <w:noProof/>
              <w:lang w:eastAsia="en-GB"/>
            </w:rPr>
          </w:pPr>
          <w:hyperlink w:anchor="_Toc352225933" w:history="1">
            <w:r w:rsidRPr="00A94D7A">
              <w:rPr>
                <w:rStyle w:val="Hyperlink"/>
                <w:noProof/>
              </w:rPr>
              <w:t>1. Providing Expertise</w:t>
            </w:r>
            <w:r>
              <w:rPr>
                <w:noProof/>
                <w:webHidden/>
              </w:rPr>
              <w:tab/>
            </w:r>
            <w:r>
              <w:rPr>
                <w:noProof/>
                <w:webHidden/>
              </w:rPr>
              <w:fldChar w:fldCharType="begin"/>
            </w:r>
            <w:r>
              <w:rPr>
                <w:noProof/>
                <w:webHidden/>
              </w:rPr>
              <w:instrText xml:space="preserve"> PAGEREF _Toc352225933 \h </w:instrText>
            </w:r>
            <w:r>
              <w:rPr>
                <w:noProof/>
                <w:webHidden/>
              </w:rPr>
            </w:r>
            <w:r>
              <w:rPr>
                <w:noProof/>
                <w:webHidden/>
              </w:rPr>
              <w:fldChar w:fldCharType="separate"/>
            </w:r>
            <w:r>
              <w:rPr>
                <w:noProof/>
                <w:webHidden/>
              </w:rPr>
              <w:t>10</w:t>
            </w:r>
            <w:r>
              <w:rPr>
                <w:noProof/>
                <w:webHidden/>
              </w:rPr>
              <w:fldChar w:fldCharType="end"/>
            </w:r>
          </w:hyperlink>
        </w:p>
        <w:p w:rsidR="00EB4B66" w:rsidRDefault="00EB4B66">
          <w:pPr>
            <w:pStyle w:val="TOC3"/>
            <w:tabs>
              <w:tab w:val="right" w:leader="dot" w:pos="9016"/>
            </w:tabs>
            <w:rPr>
              <w:rFonts w:eastAsiaTheme="minorEastAsia"/>
              <w:noProof/>
              <w:lang w:eastAsia="en-GB"/>
            </w:rPr>
          </w:pPr>
          <w:hyperlink w:anchor="_Toc352225934" w:history="1">
            <w:r w:rsidRPr="00A94D7A">
              <w:rPr>
                <w:rStyle w:val="Hyperlink"/>
                <w:noProof/>
              </w:rPr>
              <w:t>2. Improved Assessments</w:t>
            </w:r>
            <w:r>
              <w:rPr>
                <w:noProof/>
                <w:webHidden/>
              </w:rPr>
              <w:tab/>
            </w:r>
            <w:r>
              <w:rPr>
                <w:noProof/>
                <w:webHidden/>
              </w:rPr>
              <w:fldChar w:fldCharType="begin"/>
            </w:r>
            <w:r>
              <w:rPr>
                <w:noProof/>
                <w:webHidden/>
              </w:rPr>
              <w:instrText xml:space="preserve"> PAGEREF _Toc352225934 \h </w:instrText>
            </w:r>
            <w:r>
              <w:rPr>
                <w:noProof/>
                <w:webHidden/>
              </w:rPr>
            </w:r>
            <w:r>
              <w:rPr>
                <w:noProof/>
                <w:webHidden/>
              </w:rPr>
              <w:fldChar w:fldCharType="separate"/>
            </w:r>
            <w:r>
              <w:rPr>
                <w:noProof/>
                <w:webHidden/>
              </w:rPr>
              <w:t>13</w:t>
            </w:r>
            <w:r>
              <w:rPr>
                <w:noProof/>
                <w:webHidden/>
              </w:rPr>
              <w:fldChar w:fldCharType="end"/>
            </w:r>
          </w:hyperlink>
        </w:p>
        <w:p w:rsidR="00EB4B66" w:rsidRDefault="00EB4B66">
          <w:pPr>
            <w:pStyle w:val="TOC3"/>
            <w:tabs>
              <w:tab w:val="right" w:leader="dot" w:pos="9016"/>
            </w:tabs>
            <w:rPr>
              <w:rFonts w:eastAsiaTheme="minorEastAsia"/>
              <w:noProof/>
              <w:lang w:eastAsia="en-GB"/>
            </w:rPr>
          </w:pPr>
          <w:hyperlink w:anchor="_Toc352225935" w:history="1">
            <w:r w:rsidRPr="00A94D7A">
              <w:rPr>
                <w:rStyle w:val="Hyperlink"/>
                <w:noProof/>
              </w:rPr>
              <w:t>3. Integrated Approach</w:t>
            </w:r>
            <w:r>
              <w:rPr>
                <w:noProof/>
                <w:webHidden/>
              </w:rPr>
              <w:tab/>
            </w:r>
            <w:r>
              <w:rPr>
                <w:noProof/>
                <w:webHidden/>
              </w:rPr>
              <w:fldChar w:fldCharType="begin"/>
            </w:r>
            <w:r>
              <w:rPr>
                <w:noProof/>
                <w:webHidden/>
              </w:rPr>
              <w:instrText xml:space="preserve"> PAGEREF _Toc352225935 \h </w:instrText>
            </w:r>
            <w:r>
              <w:rPr>
                <w:noProof/>
                <w:webHidden/>
              </w:rPr>
            </w:r>
            <w:r>
              <w:rPr>
                <w:noProof/>
                <w:webHidden/>
              </w:rPr>
              <w:fldChar w:fldCharType="separate"/>
            </w:r>
            <w:r>
              <w:rPr>
                <w:noProof/>
                <w:webHidden/>
              </w:rPr>
              <w:t>15</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6" w:history="1">
            <w:r w:rsidRPr="00A94D7A">
              <w:rPr>
                <w:rStyle w:val="Hyperlink"/>
                <w:noProof/>
              </w:rPr>
              <w:t>Conclusions and Recommendations</w:t>
            </w:r>
            <w:r>
              <w:rPr>
                <w:noProof/>
                <w:webHidden/>
              </w:rPr>
              <w:tab/>
            </w:r>
            <w:r>
              <w:rPr>
                <w:noProof/>
                <w:webHidden/>
              </w:rPr>
              <w:fldChar w:fldCharType="begin"/>
            </w:r>
            <w:r>
              <w:rPr>
                <w:noProof/>
                <w:webHidden/>
              </w:rPr>
              <w:instrText xml:space="preserve"> PAGEREF _Toc352225936 \h </w:instrText>
            </w:r>
            <w:r>
              <w:rPr>
                <w:noProof/>
                <w:webHidden/>
              </w:rPr>
            </w:r>
            <w:r>
              <w:rPr>
                <w:noProof/>
                <w:webHidden/>
              </w:rPr>
              <w:fldChar w:fldCharType="separate"/>
            </w:r>
            <w:r>
              <w:rPr>
                <w:noProof/>
                <w:webHidden/>
              </w:rPr>
              <w:t>17</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7" w:history="1">
            <w:r w:rsidRPr="00A94D7A">
              <w:rPr>
                <w:rStyle w:val="Hyperlink"/>
                <w:noProof/>
              </w:rPr>
              <w:t>Annex 1: Persons Consulted</w:t>
            </w:r>
            <w:r>
              <w:rPr>
                <w:noProof/>
                <w:webHidden/>
              </w:rPr>
              <w:tab/>
            </w:r>
            <w:r>
              <w:rPr>
                <w:noProof/>
                <w:webHidden/>
              </w:rPr>
              <w:fldChar w:fldCharType="begin"/>
            </w:r>
            <w:r>
              <w:rPr>
                <w:noProof/>
                <w:webHidden/>
              </w:rPr>
              <w:instrText xml:space="preserve"> PAGEREF _Toc352225937 \h </w:instrText>
            </w:r>
            <w:r>
              <w:rPr>
                <w:noProof/>
                <w:webHidden/>
              </w:rPr>
            </w:r>
            <w:r>
              <w:rPr>
                <w:noProof/>
                <w:webHidden/>
              </w:rPr>
              <w:fldChar w:fldCharType="separate"/>
            </w:r>
            <w:r>
              <w:rPr>
                <w:noProof/>
                <w:webHidden/>
              </w:rPr>
              <w:t>23</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8" w:history="1">
            <w:r w:rsidRPr="00A94D7A">
              <w:rPr>
                <w:rStyle w:val="Hyperlink"/>
                <w:noProof/>
              </w:rPr>
              <w:t>Annex 2: Documents Reviewed</w:t>
            </w:r>
            <w:r>
              <w:rPr>
                <w:noProof/>
                <w:webHidden/>
              </w:rPr>
              <w:tab/>
            </w:r>
            <w:r>
              <w:rPr>
                <w:noProof/>
                <w:webHidden/>
              </w:rPr>
              <w:fldChar w:fldCharType="begin"/>
            </w:r>
            <w:r>
              <w:rPr>
                <w:noProof/>
                <w:webHidden/>
              </w:rPr>
              <w:instrText xml:space="preserve"> PAGEREF _Toc352225938 \h </w:instrText>
            </w:r>
            <w:r>
              <w:rPr>
                <w:noProof/>
                <w:webHidden/>
              </w:rPr>
            </w:r>
            <w:r>
              <w:rPr>
                <w:noProof/>
                <w:webHidden/>
              </w:rPr>
              <w:fldChar w:fldCharType="separate"/>
            </w:r>
            <w:r>
              <w:rPr>
                <w:noProof/>
                <w:webHidden/>
              </w:rPr>
              <w:t>25</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39" w:history="1">
            <w:r w:rsidRPr="00A94D7A">
              <w:rPr>
                <w:rStyle w:val="Hyperlink"/>
                <w:noProof/>
              </w:rPr>
              <w:t>Annex 3: Evaluation Questions</w:t>
            </w:r>
            <w:r>
              <w:rPr>
                <w:noProof/>
                <w:webHidden/>
              </w:rPr>
              <w:tab/>
            </w:r>
            <w:r>
              <w:rPr>
                <w:noProof/>
                <w:webHidden/>
              </w:rPr>
              <w:fldChar w:fldCharType="begin"/>
            </w:r>
            <w:r>
              <w:rPr>
                <w:noProof/>
                <w:webHidden/>
              </w:rPr>
              <w:instrText xml:space="preserve"> PAGEREF _Toc352225939 \h </w:instrText>
            </w:r>
            <w:r>
              <w:rPr>
                <w:noProof/>
                <w:webHidden/>
              </w:rPr>
            </w:r>
            <w:r>
              <w:rPr>
                <w:noProof/>
                <w:webHidden/>
              </w:rPr>
              <w:fldChar w:fldCharType="separate"/>
            </w:r>
            <w:r>
              <w:rPr>
                <w:noProof/>
                <w:webHidden/>
              </w:rPr>
              <w:t>26</w:t>
            </w:r>
            <w:r>
              <w:rPr>
                <w:noProof/>
                <w:webHidden/>
              </w:rPr>
              <w:fldChar w:fldCharType="end"/>
            </w:r>
          </w:hyperlink>
        </w:p>
        <w:p w:rsidR="00EB4B66" w:rsidRDefault="00EB4B66">
          <w:pPr>
            <w:pStyle w:val="TOC1"/>
            <w:tabs>
              <w:tab w:val="right" w:leader="dot" w:pos="9016"/>
            </w:tabs>
            <w:rPr>
              <w:rFonts w:eastAsiaTheme="minorEastAsia"/>
              <w:noProof/>
              <w:lang w:eastAsia="en-GB"/>
            </w:rPr>
          </w:pPr>
          <w:hyperlink w:anchor="_Toc352225940" w:history="1">
            <w:r w:rsidRPr="00A94D7A">
              <w:rPr>
                <w:rStyle w:val="Hyperlink"/>
                <w:noProof/>
              </w:rPr>
              <w:t>Annex 4: Terms of Reference</w:t>
            </w:r>
            <w:r>
              <w:rPr>
                <w:noProof/>
                <w:webHidden/>
              </w:rPr>
              <w:tab/>
            </w:r>
            <w:r>
              <w:rPr>
                <w:noProof/>
                <w:webHidden/>
              </w:rPr>
              <w:fldChar w:fldCharType="begin"/>
            </w:r>
            <w:r>
              <w:rPr>
                <w:noProof/>
                <w:webHidden/>
              </w:rPr>
              <w:instrText xml:space="preserve"> PAGEREF _Toc352225940 \h </w:instrText>
            </w:r>
            <w:r>
              <w:rPr>
                <w:noProof/>
                <w:webHidden/>
              </w:rPr>
            </w:r>
            <w:r>
              <w:rPr>
                <w:noProof/>
                <w:webHidden/>
              </w:rPr>
              <w:fldChar w:fldCharType="separate"/>
            </w:r>
            <w:r>
              <w:rPr>
                <w:noProof/>
                <w:webHidden/>
              </w:rPr>
              <w:t>28</w:t>
            </w:r>
            <w:r>
              <w:rPr>
                <w:noProof/>
                <w:webHidden/>
              </w:rPr>
              <w:fldChar w:fldCharType="end"/>
            </w:r>
          </w:hyperlink>
        </w:p>
        <w:p w:rsidR="00EB4B66" w:rsidRDefault="00EB4B66">
          <w:pPr>
            <w:pStyle w:val="TOC2"/>
            <w:tabs>
              <w:tab w:val="left" w:pos="880"/>
              <w:tab w:val="right" w:leader="dot" w:pos="9016"/>
            </w:tabs>
            <w:rPr>
              <w:rFonts w:eastAsiaTheme="minorEastAsia"/>
              <w:noProof/>
              <w:lang w:eastAsia="en-GB"/>
            </w:rPr>
          </w:pPr>
        </w:p>
        <w:p w:rsidR="00C505A1" w:rsidRDefault="00C505A1">
          <w:r>
            <w:rPr>
              <w:b/>
              <w:bCs/>
              <w:noProof/>
            </w:rPr>
            <w:fldChar w:fldCharType="end"/>
          </w:r>
        </w:p>
      </w:sdtContent>
    </w:sdt>
    <w:p w:rsidR="00C505A1" w:rsidRPr="00C505A1" w:rsidRDefault="00C505A1" w:rsidP="00C505A1"/>
    <w:p w:rsidR="00C505A1" w:rsidRDefault="00C505A1">
      <w:pPr>
        <w:rPr>
          <w:rFonts w:asciiTheme="majorHAnsi" w:eastAsiaTheme="majorEastAsia" w:hAnsiTheme="majorHAnsi" w:cstheme="majorBidi"/>
          <w:b/>
          <w:bCs/>
          <w:sz w:val="28"/>
          <w:szCs w:val="28"/>
        </w:rPr>
      </w:pPr>
      <w:r>
        <w:br w:type="page"/>
      </w:r>
    </w:p>
    <w:p w:rsidR="00D13862" w:rsidRPr="00D13862" w:rsidRDefault="00D13862" w:rsidP="00D13862">
      <w:pPr>
        <w:pStyle w:val="Heading1"/>
        <w:rPr>
          <w:color w:val="auto"/>
        </w:rPr>
      </w:pPr>
      <w:bookmarkStart w:id="3" w:name="_Toc352225931"/>
      <w:r w:rsidRPr="00D13862">
        <w:rPr>
          <w:color w:val="auto"/>
        </w:rPr>
        <w:lastRenderedPageBreak/>
        <w:t>Introduction</w:t>
      </w:r>
      <w:bookmarkEnd w:id="3"/>
    </w:p>
    <w:p w:rsidR="00D13862" w:rsidRPr="005511C0" w:rsidRDefault="005511C0" w:rsidP="00D13862">
      <w:pPr>
        <w:pStyle w:val="NoSpacing"/>
        <w:rPr>
          <w:bCs/>
        </w:rPr>
      </w:pPr>
      <w:bookmarkStart w:id="4" w:name="_Toc348349758"/>
      <w:r w:rsidRPr="005511C0">
        <w:rPr>
          <w:bCs/>
        </w:rPr>
        <w:t xml:space="preserve">This section </w:t>
      </w:r>
      <w:r>
        <w:rPr>
          <w:bCs/>
        </w:rPr>
        <w:t>describes the background</w:t>
      </w:r>
      <w:r w:rsidR="003954C1">
        <w:rPr>
          <w:bCs/>
        </w:rPr>
        <w:t xml:space="preserve">, </w:t>
      </w:r>
      <w:r>
        <w:rPr>
          <w:bCs/>
        </w:rPr>
        <w:t xml:space="preserve">the project funded by ECHO, and the evaluation undertaken.  </w:t>
      </w:r>
    </w:p>
    <w:p w:rsidR="005511C0" w:rsidRDefault="005511C0" w:rsidP="00D13862">
      <w:pPr>
        <w:pStyle w:val="NoSpacing"/>
        <w:rPr>
          <w:b/>
          <w:bCs/>
        </w:rPr>
      </w:pPr>
    </w:p>
    <w:bookmarkEnd w:id="4"/>
    <w:p w:rsidR="00D13862" w:rsidRPr="00D13862" w:rsidRDefault="007E4CF7" w:rsidP="00D13862">
      <w:pPr>
        <w:pStyle w:val="NoSpacing"/>
        <w:rPr>
          <w:b/>
        </w:rPr>
      </w:pPr>
      <w:r>
        <w:rPr>
          <w:b/>
        </w:rPr>
        <w:t xml:space="preserve">Older People </w:t>
      </w:r>
      <w:r w:rsidR="008D6D11">
        <w:rPr>
          <w:b/>
        </w:rPr>
        <w:t>in</w:t>
      </w:r>
      <w:r>
        <w:rPr>
          <w:b/>
        </w:rPr>
        <w:t xml:space="preserve"> D</w:t>
      </w:r>
      <w:r w:rsidR="00D13862" w:rsidRPr="00D13862">
        <w:rPr>
          <w:b/>
        </w:rPr>
        <w:t>isasters</w:t>
      </w:r>
    </w:p>
    <w:p w:rsidR="00783C4C" w:rsidRDefault="00783C4C" w:rsidP="00783C4C">
      <w:pPr>
        <w:pStyle w:val="NoSpacing"/>
      </w:pPr>
      <w:r w:rsidRPr="00783C4C">
        <w:t xml:space="preserve">In 2007, </w:t>
      </w:r>
      <w:r w:rsidR="001C363D">
        <w:t xml:space="preserve">HAI </w:t>
      </w:r>
      <w:r w:rsidR="0002193A">
        <w:t xml:space="preserve">conducted </w:t>
      </w:r>
      <w:r w:rsidRPr="00783C4C">
        <w:t>a review of the inclusion of older people in humanitarian action</w:t>
      </w:r>
      <w:r w:rsidR="0002193A">
        <w:t>,</w:t>
      </w:r>
      <w:r w:rsidRPr="00783C4C">
        <w:t xml:space="preserve"> on behalf of the Inter-Agency Standing Committee (IASC) Working Group (WG).</w:t>
      </w:r>
      <w:r w:rsidR="0002193A">
        <w:rPr>
          <w:rStyle w:val="FootnoteReference"/>
        </w:rPr>
        <w:footnoteReference w:id="1"/>
      </w:r>
      <w:r w:rsidRPr="00783C4C">
        <w:t xml:space="preserve"> This resulted in a report and recommendations</w:t>
      </w:r>
      <w:r w:rsidR="0002193A">
        <w:rPr>
          <w:rStyle w:val="FootnoteReference"/>
        </w:rPr>
        <w:footnoteReference w:id="2"/>
      </w:r>
      <w:r w:rsidRPr="00783C4C">
        <w:t xml:space="preserve"> on how the humanitarian community could better understand and address the needs of </w:t>
      </w:r>
      <w:r w:rsidR="007520D0">
        <w:t>older people in crisis contexts</w:t>
      </w:r>
      <w:r w:rsidRPr="00783C4C">
        <w:t xml:space="preserve">. </w:t>
      </w:r>
      <w:r w:rsidR="0002193A">
        <w:t>T</w:t>
      </w:r>
      <w:r w:rsidRPr="00783C4C">
        <w:t>he 69th Inter-Agency Standing Committee Working Group Meeting in Nov</w:t>
      </w:r>
      <w:r w:rsidR="005603DE">
        <w:t xml:space="preserve">ember 2007 </w:t>
      </w:r>
      <w:r w:rsidRPr="00783C4C">
        <w:t>endors</w:t>
      </w:r>
      <w:r w:rsidR="001C363D">
        <w:t>ed</w:t>
      </w:r>
      <w:r w:rsidRPr="00783C4C">
        <w:t xml:space="preserve"> the recommendations, </w:t>
      </w:r>
      <w:r w:rsidR="001C363D">
        <w:t xml:space="preserve">and </w:t>
      </w:r>
      <w:r w:rsidRPr="00783C4C">
        <w:t>agreed that WHO and H</w:t>
      </w:r>
      <w:r w:rsidR="005603DE">
        <w:t xml:space="preserve">AI </w:t>
      </w:r>
      <w:r w:rsidRPr="00783C4C">
        <w:t>would work with the humanitarian community to disseminate good practice and lessons learnt</w:t>
      </w:r>
      <w:r w:rsidR="0002193A">
        <w:t xml:space="preserve">, and undertook </w:t>
      </w:r>
      <w:r w:rsidR="0072533E">
        <w:t xml:space="preserve">to </w:t>
      </w:r>
      <w:r w:rsidR="0072533E" w:rsidRPr="00783C4C">
        <w:t>review progress in 18 months.</w:t>
      </w:r>
      <w:r w:rsidR="0072533E">
        <w:rPr>
          <w:rStyle w:val="FootnoteReference"/>
        </w:rPr>
        <w:footnoteReference w:id="3"/>
      </w:r>
    </w:p>
    <w:p w:rsidR="00093FC8" w:rsidRDefault="00093FC8" w:rsidP="00662D29">
      <w:pPr>
        <w:pStyle w:val="NoSpacing"/>
      </w:pPr>
    </w:p>
    <w:p w:rsidR="000529FD" w:rsidRPr="008D6D11" w:rsidRDefault="0002193A" w:rsidP="000529FD">
      <w:pPr>
        <w:pStyle w:val="NoSpacing"/>
      </w:pPr>
      <w:r w:rsidRPr="008D6D11">
        <w:t xml:space="preserve">In </w:t>
      </w:r>
      <w:r w:rsidR="00752650" w:rsidRPr="008D6D11">
        <w:t xml:space="preserve">October </w:t>
      </w:r>
      <w:r w:rsidRPr="008D6D11">
        <w:t xml:space="preserve">2010, a </w:t>
      </w:r>
      <w:r w:rsidR="000529FD" w:rsidRPr="008D6D11">
        <w:t xml:space="preserve">global </w:t>
      </w:r>
      <w:r w:rsidR="0072533E" w:rsidRPr="008D6D11">
        <w:t xml:space="preserve">progress review </w:t>
      </w:r>
      <w:r w:rsidRPr="008D6D11">
        <w:t xml:space="preserve">conducted by HAI and WHO for the IASC found </w:t>
      </w:r>
      <w:r w:rsidR="0072533E" w:rsidRPr="008D6D11">
        <w:t xml:space="preserve">no indication that the needs of older women and men </w:t>
      </w:r>
      <w:r w:rsidRPr="008D6D11">
        <w:t>we</w:t>
      </w:r>
      <w:r w:rsidR="0072533E" w:rsidRPr="008D6D11">
        <w:t>re becoming systematically identified within mainstream humanitarian response or coordination.</w:t>
      </w:r>
      <w:r w:rsidR="007E5CFC" w:rsidRPr="008D6D11">
        <w:rPr>
          <w:rStyle w:val="FootnoteReference"/>
        </w:rPr>
        <w:footnoteReference w:id="4"/>
      </w:r>
      <w:r w:rsidR="0072533E" w:rsidRPr="008D6D11">
        <w:t xml:space="preserve"> </w:t>
      </w:r>
      <w:r w:rsidR="000529FD" w:rsidRPr="008D6D11">
        <w:t>In the review,</w:t>
      </w:r>
      <w:r w:rsidR="000529FD" w:rsidRPr="008D6D11">
        <w:rPr>
          <w:vertAlign w:val="superscript"/>
        </w:rPr>
        <w:footnoteReference w:id="5"/>
      </w:r>
      <w:r w:rsidR="000529FD" w:rsidRPr="008D6D11">
        <w:t xml:space="preserve"> HAI identified three major policy areas for potential interventions</w:t>
      </w:r>
      <w:r w:rsidR="00093FC8" w:rsidRPr="008D6D11">
        <w:t>: s</w:t>
      </w:r>
      <w:r w:rsidR="000529FD" w:rsidRPr="008D6D11">
        <w:t>ensiti</w:t>
      </w:r>
      <w:r w:rsidR="00093FC8" w:rsidRPr="008D6D11">
        <w:t xml:space="preserve">zing </w:t>
      </w:r>
      <w:r w:rsidR="000529FD" w:rsidRPr="008D6D11">
        <w:t>practitioners, policy makers and donors on ageing issues and the responsibility of humanitarian agencies to support all vulnerable groups, whilst providing practical tools to field personnel</w:t>
      </w:r>
      <w:r w:rsidR="00093FC8" w:rsidRPr="008D6D11">
        <w:t xml:space="preserve">; </w:t>
      </w:r>
      <w:r w:rsidR="000529FD" w:rsidRPr="008D6D11">
        <w:t>review</w:t>
      </w:r>
      <w:r w:rsidR="00093FC8" w:rsidRPr="008D6D11">
        <w:t>ing</w:t>
      </w:r>
      <w:r w:rsidR="000529FD" w:rsidRPr="008D6D11">
        <w:t xml:space="preserve"> current assessment methodologies identified an inadequate focus on assessing the needs of older men and women and other vulnerable groups</w:t>
      </w:r>
      <w:r w:rsidR="00093FC8" w:rsidRPr="008D6D11">
        <w:t xml:space="preserve">; </w:t>
      </w:r>
      <w:r w:rsidR="000529FD" w:rsidRPr="008D6D11">
        <w:t>the integration of cross-cutting issues in the activities of clusters and their members</w:t>
      </w:r>
      <w:r w:rsidR="00093FC8" w:rsidRPr="008D6D11">
        <w:t xml:space="preserve">. </w:t>
      </w:r>
    </w:p>
    <w:p w:rsidR="000529FD" w:rsidRDefault="000529FD" w:rsidP="00E30306">
      <w:pPr>
        <w:pStyle w:val="NoSpacing"/>
      </w:pPr>
    </w:p>
    <w:p w:rsidR="00783C4C" w:rsidRPr="00093FC8" w:rsidRDefault="00752650" w:rsidP="00752650">
      <w:pPr>
        <w:pStyle w:val="NoSpacing"/>
      </w:pPr>
      <w:r w:rsidRPr="00093FC8">
        <w:t>In November 2010, t</w:t>
      </w:r>
      <w:r w:rsidR="00783C4C" w:rsidRPr="00093FC8">
        <w:t>he IASC W</w:t>
      </w:r>
      <w:r w:rsidRPr="00093FC8">
        <w:t>G</w:t>
      </w:r>
      <w:r w:rsidR="000529FD" w:rsidRPr="00093FC8">
        <w:t xml:space="preserve"> </w:t>
      </w:r>
      <w:r w:rsidR="00481D81" w:rsidRPr="00093FC8">
        <w:t>publish</w:t>
      </w:r>
      <w:r w:rsidR="000529FD" w:rsidRPr="00093FC8">
        <w:t>ed</w:t>
      </w:r>
      <w:r w:rsidR="00481D81" w:rsidRPr="00093FC8">
        <w:t xml:space="preserve"> F</w:t>
      </w:r>
      <w:r w:rsidR="007E5CFC" w:rsidRPr="00093FC8">
        <w:t>inal Action P</w:t>
      </w:r>
      <w:r w:rsidRPr="00093FC8">
        <w:t>oints</w:t>
      </w:r>
      <w:r w:rsidR="007E5CFC" w:rsidRPr="00093FC8">
        <w:t xml:space="preserve"> and Conclusions</w:t>
      </w:r>
      <w:r w:rsidR="00093FC8" w:rsidRPr="00093FC8">
        <w:t>:</w:t>
      </w:r>
      <w:r w:rsidR="007E5CFC" w:rsidRPr="00093FC8">
        <w:rPr>
          <w:rStyle w:val="FootnoteReference"/>
        </w:rPr>
        <w:footnoteReference w:id="6"/>
      </w:r>
      <w:r w:rsidR="000529FD" w:rsidRPr="00093FC8">
        <w:t xml:space="preserve"> </w:t>
      </w:r>
    </w:p>
    <w:p w:rsidR="00783C4C" w:rsidRPr="00093FC8" w:rsidRDefault="00783C4C" w:rsidP="00493997">
      <w:pPr>
        <w:pStyle w:val="NoSpacing"/>
        <w:numPr>
          <w:ilvl w:val="0"/>
          <w:numId w:val="27"/>
        </w:numPr>
      </w:pPr>
      <w:r w:rsidRPr="00093FC8">
        <w:t xml:space="preserve">Requests all relevant cluster lead agencies to identify focal points within their global clusters to work together with </w:t>
      </w:r>
      <w:proofErr w:type="spellStart"/>
      <w:r w:rsidRPr="00093FC8">
        <w:t>HelpAge</w:t>
      </w:r>
      <w:proofErr w:type="spellEnd"/>
      <w:r w:rsidRPr="00093FC8">
        <w:t xml:space="preserve"> and other partners for the integration of the humanitarian needs of older persons in the work of clusters. Action by: Cluster lead agencies by December 2010 </w:t>
      </w:r>
    </w:p>
    <w:p w:rsidR="00783C4C" w:rsidRPr="00093FC8" w:rsidRDefault="00783C4C" w:rsidP="00493997">
      <w:pPr>
        <w:pStyle w:val="NoSpacing"/>
        <w:numPr>
          <w:ilvl w:val="0"/>
          <w:numId w:val="27"/>
        </w:numPr>
      </w:pPr>
      <w:r w:rsidRPr="00093FC8">
        <w:t xml:space="preserve">Requests NATF to ensure that multi-sector assessment methodologies have clear reference to and include all vulnerable groups, including the needs and capacities of older persons. Action by: NATF to work together with </w:t>
      </w:r>
      <w:proofErr w:type="spellStart"/>
      <w:r w:rsidRPr="00093FC8">
        <w:t>HelpAge</w:t>
      </w:r>
      <w:proofErr w:type="spellEnd"/>
      <w:r w:rsidRPr="00093FC8">
        <w:t xml:space="preserve"> and partners to incorporate the needs of older persons in all assessment methodologies, by end of 2011. With a view to building global and field level capacity to response to the humanitarian needs of older persons in emergencies, the IASC WG: </w:t>
      </w:r>
    </w:p>
    <w:p w:rsidR="00783C4C" w:rsidRPr="00093FC8" w:rsidRDefault="00783C4C" w:rsidP="00493997">
      <w:pPr>
        <w:pStyle w:val="NoSpacing"/>
        <w:numPr>
          <w:ilvl w:val="0"/>
          <w:numId w:val="27"/>
        </w:numPr>
      </w:pPr>
      <w:r w:rsidRPr="00093FC8">
        <w:t>Encourages IASC Organisations to improve the implementation of the IASC Guidance on Older Persons and Humanitarian Assistance and to monitor the implementation of the guidance. Action by: IASC Organisations supported by OCHA/</w:t>
      </w:r>
      <w:proofErr w:type="spellStart"/>
      <w:r w:rsidRPr="00093FC8">
        <w:t>HelpAge</w:t>
      </w:r>
      <w:proofErr w:type="spellEnd"/>
      <w:r w:rsidRPr="00093FC8">
        <w:t xml:space="preserve">/interested partners </w:t>
      </w:r>
    </w:p>
    <w:p w:rsidR="00783C4C" w:rsidRPr="00093FC8" w:rsidRDefault="00783C4C" w:rsidP="00493997">
      <w:pPr>
        <w:pStyle w:val="NoSpacing"/>
        <w:numPr>
          <w:ilvl w:val="0"/>
          <w:numId w:val="27"/>
        </w:numPr>
      </w:pPr>
      <w:r w:rsidRPr="00093FC8">
        <w:t xml:space="preserve">Requests Cluster Lead Agencies, </w:t>
      </w:r>
      <w:proofErr w:type="spellStart"/>
      <w:r w:rsidRPr="00093FC8">
        <w:t>HelpAge</w:t>
      </w:r>
      <w:proofErr w:type="spellEnd"/>
      <w:r w:rsidRPr="00093FC8">
        <w:t xml:space="preserve"> and interested partners to develop training materials, best practice guidelines, awareness raising and sensitization material, to support the</w:t>
      </w:r>
      <w:r w:rsidR="00752650" w:rsidRPr="00093FC8">
        <w:t xml:space="preserve"> </w:t>
      </w:r>
      <w:proofErr w:type="spellStart"/>
      <w:r w:rsidRPr="00093FC8">
        <w:t>operationalisation</w:t>
      </w:r>
      <w:proofErr w:type="spellEnd"/>
      <w:r w:rsidRPr="00093FC8">
        <w:t xml:space="preserve"> of the IASC Guidance on Older Persons. Action by: </w:t>
      </w:r>
      <w:proofErr w:type="spellStart"/>
      <w:r w:rsidRPr="00093FC8">
        <w:t>HelpAge</w:t>
      </w:r>
      <w:proofErr w:type="spellEnd"/>
      <w:r w:rsidRPr="00093FC8">
        <w:t xml:space="preserve">, Cluster Lead Agencies and interested partners. </w:t>
      </w:r>
    </w:p>
    <w:p w:rsidR="00783C4C" w:rsidRPr="00093FC8" w:rsidRDefault="00783C4C" w:rsidP="00493997">
      <w:pPr>
        <w:pStyle w:val="NoSpacing"/>
        <w:numPr>
          <w:ilvl w:val="0"/>
          <w:numId w:val="27"/>
        </w:numPr>
      </w:pPr>
      <w:r w:rsidRPr="00093FC8">
        <w:t xml:space="preserve">Requests </w:t>
      </w:r>
      <w:proofErr w:type="spellStart"/>
      <w:r w:rsidRPr="00093FC8">
        <w:t>HelpAge</w:t>
      </w:r>
      <w:proofErr w:type="spellEnd"/>
      <w:r w:rsidRPr="00093FC8">
        <w:t xml:space="preserve"> and interested partners to establish closer links with other relevant cross cutting issues e.g. gender and disability. Action by: </w:t>
      </w:r>
      <w:proofErr w:type="spellStart"/>
      <w:r w:rsidRPr="00093FC8">
        <w:t>HelpAge</w:t>
      </w:r>
      <w:proofErr w:type="spellEnd"/>
      <w:r w:rsidRPr="00093FC8">
        <w:t xml:space="preserve"> and interested partners </w:t>
      </w:r>
    </w:p>
    <w:p w:rsidR="00752650" w:rsidRPr="00093FC8" w:rsidRDefault="00783C4C" w:rsidP="00493997">
      <w:pPr>
        <w:pStyle w:val="NoSpacing"/>
        <w:numPr>
          <w:ilvl w:val="0"/>
          <w:numId w:val="27"/>
        </w:numPr>
      </w:pPr>
      <w:r w:rsidRPr="00093FC8">
        <w:t xml:space="preserve">Raises awareness of the critical gap in humanitarian response and older persons with donors, and through CAP and Flash Appeals mechanisms. Action by: </w:t>
      </w:r>
      <w:proofErr w:type="spellStart"/>
      <w:r w:rsidRPr="00093FC8">
        <w:t>HelpAge</w:t>
      </w:r>
      <w:proofErr w:type="spellEnd"/>
      <w:r w:rsidRPr="00093FC8">
        <w:t xml:space="preserve"> with OCHA, CAP SWG and the IAS</w:t>
      </w:r>
      <w:r w:rsidR="00752650" w:rsidRPr="00093FC8">
        <w:t>C Humanitarian Financing Group.</w:t>
      </w:r>
    </w:p>
    <w:p w:rsidR="00783C4C" w:rsidRDefault="00783C4C" w:rsidP="00E30306">
      <w:pPr>
        <w:pStyle w:val="NoSpacing"/>
      </w:pPr>
    </w:p>
    <w:p w:rsidR="0052314E" w:rsidRPr="0052314E" w:rsidRDefault="0052314E" w:rsidP="00D13862">
      <w:pPr>
        <w:pStyle w:val="NoSpacing"/>
        <w:rPr>
          <w:b/>
        </w:rPr>
      </w:pPr>
      <w:r w:rsidRPr="0052314E">
        <w:rPr>
          <w:b/>
        </w:rPr>
        <w:t>Project</w:t>
      </w:r>
      <w:r w:rsidR="007E4CF7" w:rsidRPr="007E4CF7">
        <w:rPr>
          <w:b/>
        </w:rPr>
        <w:t xml:space="preserve"> </w:t>
      </w:r>
      <w:r w:rsidR="007E4CF7">
        <w:rPr>
          <w:b/>
        </w:rPr>
        <w:t>Funded by ECHO</w:t>
      </w:r>
    </w:p>
    <w:p w:rsidR="003F26CC" w:rsidRDefault="00093FC8" w:rsidP="00D13862">
      <w:pPr>
        <w:pStyle w:val="NoSpacing"/>
      </w:pPr>
      <w:r>
        <w:t xml:space="preserve">Given </w:t>
      </w:r>
      <w:r w:rsidR="00D13862" w:rsidRPr="00D13862">
        <w:t>the above, HAI designed a project intervention (Project)</w:t>
      </w:r>
      <w:r>
        <w:t xml:space="preserve"> aimed at building a more inclusive humanitarian response. </w:t>
      </w:r>
      <w:r w:rsidR="008D6D11">
        <w:t xml:space="preserve">HAI </w:t>
      </w:r>
      <w:r w:rsidR="003F26CC">
        <w:t>requested funding worth €</w:t>
      </w:r>
      <w:r w:rsidR="003F26CC" w:rsidRPr="003F26CC">
        <w:t>268.402</w:t>
      </w:r>
      <w:r w:rsidR="003F26CC">
        <w:t xml:space="preserve"> from ECHO, and </w:t>
      </w:r>
      <w:r w:rsidR="008D6D11">
        <w:t xml:space="preserve">the project </w:t>
      </w:r>
      <w:r w:rsidR="003F26CC">
        <w:t xml:space="preserve">was agreed to run for 18 months from July 2011 until December 2012.  </w:t>
      </w:r>
    </w:p>
    <w:p w:rsidR="00C91572" w:rsidRDefault="00C91572" w:rsidP="00D13862">
      <w:pPr>
        <w:pStyle w:val="NoSpacing"/>
      </w:pPr>
    </w:p>
    <w:p w:rsidR="003F26CC" w:rsidRDefault="00857C4C" w:rsidP="00C91572">
      <w:pPr>
        <w:pStyle w:val="NoSpacing"/>
      </w:pPr>
      <w:r w:rsidRPr="003F26CC">
        <w:t>The project’s ultimate g</w:t>
      </w:r>
      <w:r w:rsidR="009F2895" w:rsidRPr="003F26CC">
        <w:t>oal</w:t>
      </w:r>
      <w:r w:rsidR="003F26CC" w:rsidRPr="003F26CC">
        <w:t xml:space="preserve"> wa</w:t>
      </w:r>
      <w:r w:rsidRPr="003F26CC">
        <w:t>s to see old people assisted and protected in disasters</w:t>
      </w:r>
      <w:r w:rsidR="009F2895" w:rsidRPr="003F26CC">
        <w:t xml:space="preserve">: </w:t>
      </w:r>
    </w:p>
    <w:p w:rsidR="009F2895" w:rsidRPr="003F26CC" w:rsidRDefault="00C91572" w:rsidP="00C91572">
      <w:pPr>
        <w:pStyle w:val="NoSpacing"/>
        <w:rPr>
          <w:i/>
        </w:rPr>
      </w:pPr>
      <w:r w:rsidRPr="003F26CC">
        <w:rPr>
          <w:i/>
        </w:rPr>
        <w:t>‘</w:t>
      </w:r>
      <w:r w:rsidR="009F2895" w:rsidRPr="003F26CC">
        <w:rPr>
          <w:bCs/>
          <w:i/>
        </w:rPr>
        <w:t>Older men and women</w:t>
      </w:r>
      <w:r w:rsidR="009F2895" w:rsidRPr="003F26CC">
        <w:rPr>
          <w:i/>
        </w:rPr>
        <w:t xml:space="preserve"> and other vulnerable groups such as persons with disabilities are </w:t>
      </w:r>
      <w:r w:rsidR="009F2895" w:rsidRPr="003F26CC">
        <w:rPr>
          <w:bCs/>
          <w:i/>
        </w:rPr>
        <w:t>assisted and protected</w:t>
      </w:r>
      <w:r w:rsidR="009F2895" w:rsidRPr="003F26CC">
        <w:rPr>
          <w:i/>
        </w:rPr>
        <w:t xml:space="preserve"> in crises and disasters in accordance </w:t>
      </w:r>
      <w:r w:rsidR="009F2895" w:rsidRPr="003F26CC">
        <w:rPr>
          <w:bCs/>
          <w:i/>
        </w:rPr>
        <w:t>with humanitarian principles</w:t>
      </w:r>
      <w:r w:rsidR="009F2895" w:rsidRPr="003F26CC">
        <w:rPr>
          <w:i/>
        </w:rPr>
        <w:t xml:space="preserve"> through global international policy and response</w:t>
      </w:r>
      <w:r w:rsidRPr="003F26CC">
        <w:rPr>
          <w:i/>
        </w:rPr>
        <w:t>.’</w:t>
      </w:r>
      <w:r w:rsidR="00857C4C" w:rsidRPr="003F26CC">
        <w:rPr>
          <w:rStyle w:val="FootnoteReference"/>
          <w:i/>
        </w:rPr>
        <w:footnoteReference w:id="7"/>
      </w:r>
    </w:p>
    <w:p w:rsidR="00C91572" w:rsidRPr="00C91572" w:rsidRDefault="00C91572" w:rsidP="00C91572">
      <w:pPr>
        <w:pStyle w:val="NoSpacing"/>
      </w:pPr>
      <w:r w:rsidRPr="00C91572">
        <w:t> </w:t>
      </w:r>
    </w:p>
    <w:p w:rsidR="003F26CC" w:rsidRDefault="00857C4C" w:rsidP="00C91572">
      <w:pPr>
        <w:pStyle w:val="NoSpacing"/>
      </w:pPr>
      <w:r>
        <w:t>The p</w:t>
      </w:r>
      <w:r w:rsidR="009F2895" w:rsidRPr="00C91572">
        <w:t>roject</w:t>
      </w:r>
      <w:r>
        <w:t>’s</w:t>
      </w:r>
      <w:r w:rsidR="009F2895" w:rsidRPr="00C91572">
        <w:t xml:space="preserve"> objective</w:t>
      </w:r>
      <w:r>
        <w:t xml:space="preserve"> </w:t>
      </w:r>
      <w:r w:rsidR="003F26CC">
        <w:t>wa</w:t>
      </w:r>
      <w:r>
        <w:t>s to increase the system’s capacity</w:t>
      </w:r>
      <w:r w:rsidR="00B25971">
        <w:t xml:space="preserve"> toward the goal. </w:t>
      </w:r>
    </w:p>
    <w:p w:rsidR="009F2895" w:rsidRPr="003F26CC" w:rsidRDefault="00C91572" w:rsidP="00C91572">
      <w:pPr>
        <w:pStyle w:val="NoSpacing"/>
        <w:rPr>
          <w:i/>
        </w:rPr>
      </w:pPr>
      <w:r w:rsidRPr="003F26CC">
        <w:rPr>
          <w:i/>
        </w:rPr>
        <w:t>‘</w:t>
      </w:r>
      <w:r w:rsidR="009F2895" w:rsidRPr="003F26CC">
        <w:rPr>
          <w:bCs/>
          <w:i/>
        </w:rPr>
        <w:t>To increase the capacity</w:t>
      </w:r>
      <w:r w:rsidR="009F2895" w:rsidRPr="003F26CC">
        <w:rPr>
          <w:i/>
        </w:rPr>
        <w:t xml:space="preserve"> of the humanitarian system, key agencies, donors and field based staff </w:t>
      </w:r>
      <w:r w:rsidR="009F2895" w:rsidRPr="003F26CC">
        <w:rPr>
          <w:bCs/>
          <w:i/>
        </w:rPr>
        <w:t>to address needs of older and disabled people</w:t>
      </w:r>
      <w:r w:rsidR="009F2895" w:rsidRPr="003F26CC">
        <w:rPr>
          <w:i/>
        </w:rPr>
        <w:t xml:space="preserve"> whose lives have been disrupted by disasters through sensitisation and shaping key policy tools, such as IASC's Gender Marker, to explicitly include older men and women.</w:t>
      </w:r>
      <w:r w:rsidRPr="003F26CC">
        <w:rPr>
          <w:i/>
        </w:rPr>
        <w:t>’</w:t>
      </w:r>
      <w:r w:rsidR="00857C4C" w:rsidRPr="003F26CC">
        <w:rPr>
          <w:rStyle w:val="FootnoteReference"/>
          <w:i/>
        </w:rPr>
        <w:footnoteReference w:id="8"/>
      </w:r>
    </w:p>
    <w:p w:rsidR="00C91572" w:rsidRDefault="00C91572" w:rsidP="00D13862">
      <w:pPr>
        <w:pStyle w:val="NoSpacing"/>
      </w:pPr>
    </w:p>
    <w:p w:rsidR="00D13862" w:rsidRPr="00D13862" w:rsidRDefault="00F41C1B" w:rsidP="00D13862">
      <w:pPr>
        <w:pStyle w:val="NoSpacing"/>
      </w:pPr>
      <w:r>
        <w:t xml:space="preserve">The project undertook </w:t>
      </w:r>
      <w:r w:rsidR="007373F3">
        <w:t xml:space="preserve">to carry out the following </w:t>
      </w:r>
      <w:r w:rsidR="00C91572">
        <w:t>activities:</w:t>
      </w:r>
    </w:p>
    <w:p w:rsidR="00D13862" w:rsidRPr="008D6D11" w:rsidRDefault="00D13862" w:rsidP="00493997">
      <w:pPr>
        <w:pStyle w:val="NoSpacing"/>
        <w:numPr>
          <w:ilvl w:val="0"/>
          <w:numId w:val="7"/>
        </w:numPr>
      </w:pPr>
      <w:r w:rsidRPr="008D6D11">
        <w:t>Humanitarian Training: Sensitising 200 field staff and 80 senior HQ staff on ageing and disability through the development of its training programme Helping Older people in Emergencies (HOPE), and supporting the sensitisation of CAP staff on the specific needs of older people and other vulnerable groups.</w:t>
      </w:r>
    </w:p>
    <w:p w:rsidR="00D13862" w:rsidRPr="008D6D11" w:rsidRDefault="00D13862" w:rsidP="00493997">
      <w:pPr>
        <w:pStyle w:val="NoSpacing"/>
        <w:numPr>
          <w:ilvl w:val="0"/>
          <w:numId w:val="7"/>
        </w:numPr>
      </w:pPr>
      <w:r w:rsidRPr="008D6D11">
        <w:t xml:space="preserve">Practical Guidance: Producing three sets of Humanitarian Guidance on inclusion of older men and women in emergency health and livelihoods programming, and initial first-phase needs assessment. </w:t>
      </w:r>
    </w:p>
    <w:p w:rsidR="00D13862" w:rsidRPr="008D6D11" w:rsidRDefault="00D13862" w:rsidP="00493997">
      <w:pPr>
        <w:pStyle w:val="NoSpacing"/>
        <w:numPr>
          <w:ilvl w:val="0"/>
          <w:numId w:val="7"/>
        </w:numPr>
      </w:pPr>
      <w:r w:rsidRPr="008D6D11">
        <w:t xml:space="preserve">Policy Publications: Development of detailed policy and research publications on the effects of displacement on older men and women and the levels of humanitarian financing available to meet the needs of older people and people with disabilities. </w:t>
      </w:r>
    </w:p>
    <w:p w:rsidR="00D13862" w:rsidRPr="008D6D11" w:rsidRDefault="00D13862" w:rsidP="00493997">
      <w:pPr>
        <w:pStyle w:val="NoSpacing"/>
        <w:numPr>
          <w:ilvl w:val="0"/>
          <w:numId w:val="7"/>
        </w:numPr>
      </w:pPr>
      <w:r w:rsidRPr="008D6D11">
        <w:t>Needs Assessments: Implementation of four field-based needs assessments which included the involvement of partners in the collection and analysis of data</w:t>
      </w:r>
    </w:p>
    <w:p w:rsidR="00D13862" w:rsidRPr="008D6D11" w:rsidRDefault="00D13862" w:rsidP="00493997">
      <w:pPr>
        <w:pStyle w:val="NoSpacing"/>
        <w:numPr>
          <w:ilvl w:val="0"/>
          <w:numId w:val="7"/>
        </w:numPr>
      </w:pPr>
      <w:r w:rsidRPr="008D6D11">
        <w:t>Cluster Advocacy: Influencing work with two UN global clusters and other Geneva stakeholders to increase awareness and capacity around ageing concerns in emergencies.</w:t>
      </w:r>
      <w:r w:rsidRPr="008D6D11">
        <w:rPr>
          <w:vertAlign w:val="superscript"/>
        </w:rPr>
        <w:footnoteReference w:id="9"/>
      </w:r>
      <w:r w:rsidRPr="008D6D11" w:rsidDel="006C02A0">
        <w:t xml:space="preserve"> </w:t>
      </w:r>
    </w:p>
    <w:p w:rsidR="00D13862" w:rsidRDefault="00D13862" w:rsidP="00D13862">
      <w:pPr>
        <w:pStyle w:val="NoSpacing"/>
      </w:pPr>
    </w:p>
    <w:p w:rsidR="00D13862" w:rsidRPr="00D13862" w:rsidRDefault="0052314E" w:rsidP="00D13862">
      <w:pPr>
        <w:pStyle w:val="NoSpacing"/>
        <w:rPr>
          <w:b/>
          <w:bCs/>
        </w:rPr>
      </w:pPr>
      <w:r>
        <w:rPr>
          <w:b/>
          <w:bCs/>
        </w:rPr>
        <w:t>Evaluation</w:t>
      </w:r>
    </w:p>
    <w:p w:rsidR="008D6D11" w:rsidRPr="008D6D11" w:rsidRDefault="008D6D11" w:rsidP="008D6D11">
      <w:pPr>
        <w:pStyle w:val="NoSpacing"/>
      </w:pPr>
      <w:r w:rsidRPr="008D6D11">
        <w:t>Under the contract, HAI opted to commission an evaluation</w:t>
      </w:r>
      <w:r>
        <w:t>, and</w:t>
      </w:r>
      <w:r w:rsidRPr="008D6D11">
        <w:t xml:space="preserve"> </w:t>
      </w:r>
      <w:r>
        <w:t>issued a Terms of Reference</w:t>
      </w:r>
      <w:r w:rsidRPr="008D6D11">
        <w:rPr>
          <w:vertAlign w:val="superscript"/>
        </w:rPr>
        <w:footnoteReference w:id="10"/>
      </w:r>
      <w:r>
        <w:t xml:space="preserve"> (see Annex 4) </w:t>
      </w:r>
      <w:r w:rsidRPr="008D6D11">
        <w:t>request</w:t>
      </w:r>
      <w:r>
        <w:t xml:space="preserve">ing </w:t>
      </w:r>
      <w:r w:rsidRPr="008D6D11">
        <w:t xml:space="preserve">an evaluation to answer the question: </w:t>
      </w:r>
    </w:p>
    <w:p w:rsidR="008D6D11" w:rsidRPr="00D13862" w:rsidRDefault="008D6D11" w:rsidP="008D6D11">
      <w:pPr>
        <w:pStyle w:val="NoSpacing"/>
      </w:pPr>
      <w:r w:rsidRPr="008D6D11">
        <w:rPr>
          <w:bCs/>
          <w:i/>
          <w:iCs/>
        </w:rPr>
        <w:t>To what degree has the policy and practice of assisting older persons more effectively in the international humanitarian system and its interventions, been advanced as a result of the Project?</w:t>
      </w:r>
      <w:r w:rsidRPr="00AE71F1">
        <w:rPr>
          <w:bCs/>
          <w:iCs/>
          <w:highlight w:val="yellow"/>
        </w:rPr>
        <w:t xml:space="preserve"> </w:t>
      </w:r>
    </w:p>
    <w:p w:rsidR="008D6D11" w:rsidRDefault="008D6D11" w:rsidP="00D13862">
      <w:pPr>
        <w:pStyle w:val="NoSpacing"/>
      </w:pPr>
    </w:p>
    <w:p w:rsidR="00EE5B82" w:rsidRDefault="008D6D11" w:rsidP="008D6D11">
      <w:pPr>
        <w:pStyle w:val="NoSpacing"/>
      </w:pPr>
      <w:r>
        <w:t xml:space="preserve">The evaluator was contracted in December 2012, and </w:t>
      </w:r>
      <w:r w:rsidR="00EE5B82">
        <w:t xml:space="preserve">conducted </w:t>
      </w:r>
      <w:r>
        <w:t xml:space="preserve">the evaluation </w:t>
      </w:r>
      <w:r w:rsidR="00EE5B82">
        <w:t xml:space="preserve">between 5 February and 27 March 2013. </w:t>
      </w:r>
    </w:p>
    <w:p w:rsidR="00EE5B82" w:rsidRPr="00D13862" w:rsidRDefault="00EE5B82" w:rsidP="00D13862">
      <w:pPr>
        <w:pStyle w:val="NoSpacing"/>
      </w:pPr>
    </w:p>
    <w:p w:rsidR="00D13862" w:rsidRDefault="008D6D11" w:rsidP="00D13862">
      <w:pPr>
        <w:pStyle w:val="NoSpacing"/>
      </w:pPr>
      <w:r>
        <w:t>The p</w:t>
      </w:r>
      <w:r w:rsidR="00D13862" w:rsidRPr="00D13862">
        <w:t>rimary objective</w:t>
      </w:r>
      <w:r>
        <w:t xml:space="preserve"> of the evaluation was</w:t>
      </w:r>
      <w:r w:rsidR="00D13862" w:rsidRPr="00D13862">
        <w:t xml:space="preserve"> to conduct an independent evaluation of H</w:t>
      </w:r>
      <w:r w:rsidR="00DD398A">
        <w:t>AI</w:t>
      </w:r>
      <w:r w:rsidR="00D13862" w:rsidRPr="00D13862">
        <w:t xml:space="preserve">’s ECHO-funded project, ‘Strengthening the quality and effectiveness of humanitarian response to ensure it </w:t>
      </w:r>
      <w:proofErr w:type="gramStart"/>
      <w:r w:rsidR="00D13862" w:rsidRPr="00D13862">
        <w:t>meets</w:t>
      </w:r>
      <w:proofErr w:type="gramEnd"/>
      <w:r w:rsidR="00D13862" w:rsidRPr="00D13862">
        <w:t xml:space="preserve"> the needs of older men and women and other vulnerable groups.’ </w:t>
      </w:r>
      <w:r>
        <w:t>Its s</w:t>
      </w:r>
      <w:r w:rsidR="00D13862" w:rsidRPr="00D13862">
        <w:t>econdary objective</w:t>
      </w:r>
      <w:r>
        <w:t xml:space="preserve"> was</w:t>
      </w:r>
      <w:r w:rsidR="00D13862" w:rsidRPr="00D13862">
        <w:t xml:space="preserve"> to assess the distinct </w:t>
      </w:r>
      <w:r>
        <w:t xml:space="preserve">areas of </w:t>
      </w:r>
      <w:r w:rsidR="00D13862" w:rsidRPr="00D13862">
        <w:t>activit</w:t>
      </w:r>
      <w:r>
        <w:t>y conducted under the p</w:t>
      </w:r>
      <w:r w:rsidR="00D13862" w:rsidRPr="00D13862">
        <w:t>roject</w:t>
      </w:r>
      <w:r>
        <w:t xml:space="preserve">, including provision of expertise, improving assessments, and integrating cross-cutting issues. </w:t>
      </w:r>
    </w:p>
    <w:p w:rsidR="008D6D11" w:rsidRDefault="008D6D11" w:rsidP="00D13862">
      <w:pPr>
        <w:pStyle w:val="NoSpacing"/>
      </w:pPr>
    </w:p>
    <w:p w:rsidR="00D13862" w:rsidRPr="00D13862" w:rsidRDefault="008D6D11" w:rsidP="00D13862">
      <w:pPr>
        <w:pStyle w:val="NoSpacing"/>
      </w:pPr>
      <w:r>
        <w:t>The purpose of t</w:t>
      </w:r>
      <w:r w:rsidR="00D13862" w:rsidRPr="00D13862">
        <w:t xml:space="preserve">he evaluation </w:t>
      </w:r>
      <w:r>
        <w:t xml:space="preserve">was </w:t>
      </w:r>
      <w:r w:rsidR="00D13862" w:rsidRPr="00D13862">
        <w:t>to contribute to organizational learning and a growing evidence base about interventions in support of older people and other vulnerable groups in disasters and emergencies</w:t>
      </w:r>
      <w:r>
        <w:t>,</w:t>
      </w:r>
      <w:r w:rsidR="00341711">
        <w:rPr>
          <w:rStyle w:val="FootnoteReference"/>
        </w:rPr>
        <w:footnoteReference w:id="11"/>
      </w:r>
      <w:r w:rsidR="00D13862" w:rsidRPr="00D13862">
        <w:t xml:space="preserve"> and to provide upward accountability to ECHO.</w:t>
      </w:r>
      <w:r>
        <w:t xml:space="preserve"> </w:t>
      </w:r>
      <w:r w:rsidR="00D13862" w:rsidRPr="00D13862">
        <w:t>The primary audiences for th</w:t>
      </w:r>
      <w:r>
        <w:t>e</w:t>
      </w:r>
      <w:r w:rsidR="00D13862" w:rsidRPr="00D13862">
        <w:t xml:space="preserve"> evaluation are HAI staff</w:t>
      </w:r>
      <w:r w:rsidR="00A84F3B">
        <w:t>, ECHO funders,</w:t>
      </w:r>
      <w:r w:rsidR="00D13862" w:rsidRPr="00D13862">
        <w:t xml:space="preserve"> and partners concerned with meeting the needs of older people and other vulnerable groups in disasters and emergencies. </w:t>
      </w:r>
    </w:p>
    <w:p w:rsidR="00D13862" w:rsidRPr="00D13862" w:rsidRDefault="00D13862" w:rsidP="00D13862">
      <w:pPr>
        <w:pStyle w:val="NoSpacing"/>
      </w:pPr>
    </w:p>
    <w:p w:rsidR="00D13862" w:rsidRPr="00C55199" w:rsidRDefault="00D13862" w:rsidP="00C55199">
      <w:pPr>
        <w:pStyle w:val="NoSpacing"/>
        <w:rPr>
          <w:bCs/>
          <w:iCs/>
        </w:rPr>
      </w:pPr>
      <w:r w:rsidRPr="00C55199">
        <w:t>The evaluation assess</w:t>
      </w:r>
      <w:r w:rsidR="00AE71F1" w:rsidRPr="00C55199">
        <w:t>ed</w:t>
      </w:r>
      <w:r w:rsidR="00FE0BAC">
        <w:t xml:space="preserve"> the p</w:t>
      </w:r>
      <w:r w:rsidRPr="00C55199">
        <w:t xml:space="preserve">roject </w:t>
      </w:r>
      <w:r w:rsidRPr="00C55199">
        <w:rPr>
          <w:bCs/>
          <w:iCs/>
        </w:rPr>
        <w:t>using the established OECD/DAC evaluation criteria</w:t>
      </w:r>
      <w:r w:rsidRPr="00C55199">
        <w:rPr>
          <w:bCs/>
          <w:iCs/>
          <w:vertAlign w:val="superscript"/>
        </w:rPr>
        <w:footnoteReference w:id="12"/>
      </w:r>
      <w:r w:rsidRPr="00C55199">
        <w:rPr>
          <w:bCs/>
          <w:iCs/>
        </w:rPr>
        <w:t xml:space="preserve"> and ALNAP’s related guidance for humanitarian action</w:t>
      </w:r>
      <w:r w:rsidR="00AE71F1" w:rsidRPr="00C55199">
        <w:rPr>
          <w:bCs/>
          <w:iCs/>
        </w:rPr>
        <w:t>:</w:t>
      </w:r>
      <w:r w:rsidRPr="00C55199">
        <w:rPr>
          <w:bCs/>
          <w:iCs/>
          <w:vertAlign w:val="superscript"/>
        </w:rPr>
        <w:footnoteReference w:id="13"/>
      </w:r>
      <w:r w:rsidR="00AE71F1" w:rsidRPr="00C55199">
        <w:rPr>
          <w:bCs/>
          <w:iCs/>
        </w:rPr>
        <w:t xml:space="preserve"> </w:t>
      </w:r>
      <w:r w:rsidRPr="00C55199">
        <w:rPr>
          <w:bCs/>
          <w:iCs/>
        </w:rPr>
        <w:t>Relevance</w:t>
      </w:r>
      <w:r w:rsidR="00AE71F1" w:rsidRPr="00C55199">
        <w:rPr>
          <w:bCs/>
          <w:iCs/>
        </w:rPr>
        <w:t xml:space="preserve">, </w:t>
      </w:r>
      <w:r w:rsidRPr="00C55199">
        <w:rPr>
          <w:bCs/>
          <w:iCs/>
        </w:rPr>
        <w:t>Effectiveness</w:t>
      </w:r>
      <w:r w:rsidR="00AE71F1" w:rsidRPr="00C55199">
        <w:rPr>
          <w:bCs/>
          <w:iCs/>
        </w:rPr>
        <w:t xml:space="preserve">, </w:t>
      </w:r>
      <w:r w:rsidRPr="00C55199">
        <w:rPr>
          <w:bCs/>
          <w:iCs/>
        </w:rPr>
        <w:t>Efficiency</w:t>
      </w:r>
      <w:r w:rsidR="00AE71F1" w:rsidRPr="00C55199">
        <w:rPr>
          <w:bCs/>
          <w:iCs/>
        </w:rPr>
        <w:t>, S</w:t>
      </w:r>
      <w:r w:rsidRPr="00C55199">
        <w:rPr>
          <w:bCs/>
          <w:iCs/>
        </w:rPr>
        <w:t>ustainability</w:t>
      </w:r>
      <w:r w:rsidR="00AE71F1" w:rsidRPr="00C55199">
        <w:rPr>
          <w:bCs/>
          <w:iCs/>
        </w:rPr>
        <w:t xml:space="preserve">, and </w:t>
      </w:r>
      <w:r w:rsidRPr="00C55199">
        <w:rPr>
          <w:bCs/>
          <w:iCs/>
        </w:rPr>
        <w:t>Impact</w:t>
      </w:r>
      <w:r w:rsidR="00AE71F1" w:rsidRPr="00C55199">
        <w:rPr>
          <w:bCs/>
          <w:iCs/>
        </w:rPr>
        <w:t xml:space="preserve">. </w:t>
      </w:r>
      <w:r w:rsidR="00C55199">
        <w:rPr>
          <w:bCs/>
          <w:iCs/>
        </w:rPr>
        <w:t>It</w:t>
      </w:r>
      <w:r w:rsidR="00AE71F1" w:rsidRPr="00C55199">
        <w:rPr>
          <w:bCs/>
          <w:iCs/>
        </w:rPr>
        <w:t xml:space="preserve"> </w:t>
      </w:r>
      <w:r w:rsidR="008D6D11">
        <w:rPr>
          <w:bCs/>
          <w:iCs/>
        </w:rPr>
        <w:t xml:space="preserve">also </w:t>
      </w:r>
      <w:r w:rsidR="00AE71F1" w:rsidRPr="00C55199">
        <w:rPr>
          <w:bCs/>
          <w:iCs/>
        </w:rPr>
        <w:t>use</w:t>
      </w:r>
      <w:r w:rsidR="00341711">
        <w:rPr>
          <w:bCs/>
          <w:iCs/>
        </w:rPr>
        <w:t>d</w:t>
      </w:r>
      <w:r w:rsidR="00AE71F1" w:rsidRPr="00C55199">
        <w:rPr>
          <w:bCs/>
          <w:iCs/>
        </w:rPr>
        <w:t xml:space="preserve"> </w:t>
      </w:r>
      <w:r w:rsidR="008D6D11">
        <w:rPr>
          <w:bCs/>
          <w:iCs/>
        </w:rPr>
        <w:t xml:space="preserve">additional </w:t>
      </w:r>
      <w:r w:rsidR="00AE71F1" w:rsidRPr="00C55199">
        <w:rPr>
          <w:bCs/>
          <w:iCs/>
        </w:rPr>
        <w:t>concepts</w:t>
      </w:r>
      <w:r w:rsidR="00C55199">
        <w:rPr>
          <w:bCs/>
          <w:iCs/>
        </w:rPr>
        <w:t xml:space="preserve"> for evaluating advocacy and policy activity</w:t>
      </w:r>
      <w:r w:rsidR="00AE71F1" w:rsidRPr="00C55199">
        <w:rPr>
          <w:bCs/>
          <w:iCs/>
        </w:rPr>
        <w:t xml:space="preserve">: </w:t>
      </w:r>
      <w:r w:rsidRPr="00C55199">
        <w:rPr>
          <w:bCs/>
          <w:iCs/>
        </w:rPr>
        <w:t>Theory of Change</w:t>
      </w:r>
      <w:r w:rsidR="00AE71F1" w:rsidRPr="00C55199">
        <w:rPr>
          <w:bCs/>
          <w:iCs/>
        </w:rPr>
        <w:t>,</w:t>
      </w:r>
      <w:r w:rsidRPr="00C55199">
        <w:rPr>
          <w:bCs/>
          <w:iCs/>
          <w:vertAlign w:val="superscript"/>
        </w:rPr>
        <w:footnoteReference w:id="14"/>
      </w:r>
      <w:r w:rsidR="00AE71F1" w:rsidRPr="00C55199">
        <w:rPr>
          <w:bCs/>
          <w:iCs/>
        </w:rPr>
        <w:t xml:space="preserve"> </w:t>
      </w:r>
      <w:r w:rsidR="00C55199">
        <w:rPr>
          <w:bCs/>
          <w:iCs/>
        </w:rPr>
        <w:t>Outcomes,</w:t>
      </w:r>
      <w:r w:rsidR="00C55199" w:rsidRPr="00D13862">
        <w:rPr>
          <w:vertAlign w:val="superscript"/>
        </w:rPr>
        <w:footnoteReference w:id="15"/>
      </w:r>
      <w:r w:rsidR="00C55199">
        <w:rPr>
          <w:bCs/>
          <w:iCs/>
        </w:rPr>
        <w:t xml:space="preserve"> Contribut</w:t>
      </w:r>
      <w:r w:rsidR="00341711">
        <w:rPr>
          <w:bCs/>
          <w:iCs/>
        </w:rPr>
        <w:t>ions,</w:t>
      </w:r>
      <w:r w:rsidRPr="00C55199">
        <w:rPr>
          <w:bCs/>
          <w:iCs/>
          <w:vertAlign w:val="superscript"/>
        </w:rPr>
        <w:footnoteReference w:id="16"/>
      </w:r>
      <w:r w:rsidR="00341711">
        <w:rPr>
          <w:bCs/>
          <w:iCs/>
        </w:rPr>
        <w:t xml:space="preserve"> and Boundary Partners.</w:t>
      </w:r>
      <w:r w:rsidR="00341711">
        <w:rPr>
          <w:rStyle w:val="FootnoteReference"/>
          <w:bCs/>
          <w:iCs/>
        </w:rPr>
        <w:footnoteReference w:id="17"/>
      </w:r>
      <w:r w:rsidR="000E5D88">
        <w:rPr>
          <w:bCs/>
          <w:iCs/>
        </w:rPr>
        <w:t xml:space="preserve"> The criteria </w:t>
      </w:r>
      <w:r w:rsidR="008D6D11">
        <w:rPr>
          <w:bCs/>
          <w:iCs/>
        </w:rPr>
        <w:t xml:space="preserve">and concepts </w:t>
      </w:r>
      <w:r w:rsidR="000E5D88">
        <w:rPr>
          <w:bCs/>
          <w:iCs/>
        </w:rPr>
        <w:t>guided development of the evaluation questions</w:t>
      </w:r>
      <w:r w:rsidR="00DD0AF3">
        <w:rPr>
          <w:bCs/>
          <w:iCs/>
        </w:rPr>
        <w:t xml:space="preserve"> (see Annex 3)</w:t>
      </w:r>
      <w:r w:rsidR="008D6D11">
        <w:rPr>
          <w:bCs/>
          <w:iCs/>
        </w:rPr>
        <w:t xml:space="preserve"> </w:t>
      </w:r>
      <w:r w:rsidR="00DD0AF3">
        <w:rPr>
          <w:bCs/>
          <w:iCs/>
        </w:rPr>
        <w:t>used to collect data from sources</w:t>
      </w:r>
      <w:r w:rsidR="000E5D88">
        <w:rPr>
          <w:bCs/>
          <w:iCs/>
        </w:rPr>
        <w:t xml:space="preserve">. </w:t>
      </w:r>
      <w:r w:rsidR="00341711">
        <w:rPr>
          <w:bCs/>
          <w:iCs/>
        </w:rPr>
        <w:t xml:space="preserve"> </w:t>
      </w:r>
      <w:r w:rsidR="00C55199" w:rsidRPr="00C55199">
        <w:rPr>
          <w:bCs/>
          <w:iCs/>
        </w:rPr>
        <w:t xml:space="preserve"> </w:t>
      </w:r>
    </w:p>
    <w:p w:rsidR="00D13862" w:rsidRPr="00D13862" w:rsidRDefault="00D13862" w:rsidP="00D13862">
      <w:pPr>
        <w:pStyle w:val="NoSpacing"/>
      </w:pPr>
    </w:p>
    <w:p w:rsidR="00CE015C" w:rsidRDefault="00CE015C" w:rsidP="00CE015C">
      <w:pPr>
        <w:pStyle w:val="NoSpacing"/>
      </w:pPr>
      <w:r>
        <w:t>The evaluation sought to consult key stakeholders</w:t>
      </w:r>
      <w:r w:rsidR="00916592">
        <w:t xml:space="preserve"> </w:t>
      </w:r>
      <w:r>
        <w:t>divid</w:t>
      </w:r>
      <w:r w:rsidR="008C6143">
        <w:t xml:space="preserve">ed </w:t>
      </w:r>
      <w:r>
        <w:t>into three categories</w:t>
      </w:r>
      <w:r w:rsidR="00FE0BAC">
        <w:t>, as</w:t>
      </w:r>
      <w:r w:rsidR="002F757E">
        <w:t xml:space="preserve"> </w:t>
      </w:r>
      <w:r w:rsidR="00916592">
        <w:t xml:space="preserve">listed </w:t>
      </w:r>
      <w:r w:rsidR="002F757E">
        <w:t xml:space="preserve">below. </w:t>
      </w:r>
      <w:r w:rsidR="00DD398A">
        <w:t>During</w:t>
      </w:r>
      <w:r w:rsidR="002F757E">
        <w:t xml:space="preserve"> </w:t>
      </w:r>
      <w:r w:rsidR="00FE0BAC">
        <w:t>data collection</w:t>
      </w:r>
      <w:r w:rsidR="002F757E">
        <w:t xml:space="preserve">, </w:t>
      </w:r>
      <w:r w:rsidR="00FE0BAC">
        <w:t>however,</w:t>
      </w:r>
      <w:r w:rsidR="002F757E">
        <w:t xml:space="preserve"> </w:t>
      </w:r>
      <w:r w:rsidR="00DD398A">
        <w:t xml:space="preserve">the </w:t>
      </w:r>
      <w:r w:rsidR="00FE0BAC">
        <w:t xml:space="preserve">difference remained </w:t>
      </w:r>
      <w:r w:rsidR="00DD398A">
        <w:t xml:space="preserve">insufficiently </w:t>
      </w:r>
      <w:r w:rsidR="00FE0BAC">
        <w:t>clear between advocacy targets and advocacy partners</w:t>
      </w:r>
      <w:r w:rsidR="002F757E">
        <w:t xml:space="preserve">, so it became useful to consider both as </w:t>
      </w:r>
      <w:r w:rsidR="00277F17">
        <w:t xml:space="preserve">broad </w:t>
      </w:r>
      <w:r w:rsidR="002F757E">
        <w:t>‘partners.’</w:t>
      </w:r>
      <w:r>
        <w:t xml:space="preserve"> </w:t>
      </w:r>
    </w:p>
    <w:p w:rsidR="00CE015C" w:rsidRDefault="00CE015C" w:rsidP="00493997">
      <w:pPr>
        <w:pStyle w:val="NoSpacing"/>
        <w:numPr>
          <w:ilvl w:val="0"/>
          <w:numId w:val="28"/>
        </w:numPr>
      </w:pPr>
      <w:r>
        <w:t xml:space="preserve">HAI </w:t>
      </w:r>
      <w:r w:rsidR="00AB3EED">
        <w:t>I</w:t>
      </w:r>
      <w:r w:rsidR="00D13862" w:rsidRPr="00D13862">
        <w:t>mplementers</w:t>
      </w:r>
      <w:r w:rsidR="00FD70C2">
        <w:t xml:space="preserve">: </w:t>
      </w:r>
      <w:r>
        <w:t>HAI staff responsible for implementing the project and its parts at HQ and field</w:t>
      </w:r>
      <w:r w:rsidR="00956066">
        <w:t xml:space="preserve"> levels</w:t>
      </w:r>
    </w:p>
    <w:p w:rsidR="00CE015C" w:rsidRDefault="00AB3EED" w:rsidP="00493997">
      <w:pPr>
        <w:pStyle w:val="NoSpacing"/>
        <w:numPr>
          <w:ilvl w:val="0"/>
          <w:numId w:val="28"/>
        </w:numPr>
      </w:pPr>
      <w:r>
        <w:t>Advocacy T</w:t>
      </w:r>
      <w:r w:rsidR="00CE015C">
        <w:t>argets</w:t>
      </w:r>
      <w:r w:rsidR="00FD70C2">
        <w:t xml:space="preserve">: </w:t>
      </w:r>
      <w:r w:rsidR="00CE015C">
        <w:t xml:space="preserve">cluster leads and key staff of humanitarian agencies at global and field level, whom the project seeks to influence  </w:t>
      </w:r>
    </w:p>
    <w:p w:rsidR="00CE015C" w:rsidRDefault="00AB3EED" w:rsidP="00493997">
      <w:pPr>
        <w:pStyle w:val="NoSpacing"/>
        <w:numPr>
          <w:ilvl w:val="0"/>
          <w:numId w:val="28"/>
        </w:numPr>
      </w:pPr>
      <w:r>
        <w:t>Strategic/Advocacy P</w:t>
      </w:r>
      <w:r w:rsidR="00CE015C">
        <w:t>artners</w:t>
      </w:r>
      <w:r w:rsidR="00FD70C2">
        <w:t xml:space="preserve">: </w:t>
      </w:r>
      <w:r w:rsidR="00CE015C">
        <w:t xml:space="preserve">staff of humanitarian actors (including donors) </w:t>
      </w:r>
      <w:r w:rsidR="00956066">
        <w:t xml:space="preserve">who </w:t>
      </w:r>
      <w:r w:rsidR="00CE015C">
        <w:t>share an interest in collecting SADD and shaping a more inclusive humanitarian response</w:t>
      </w:r>
    </w:p>
    <w:p w:rsidR="00D13862" w:rsidRPr="00D13862" w:rsidRDefault="00D13862" w:rsidP="00D13862">
      <w:pPr>
        <w:pStyle w:val="NoSpacing"/>
      </w:pPr>
    </w:p>
    <w:p w:rsidR="00D13862" w:rsidRPr="00D13862" w:rsidRDefault="00A30A59" w:rsidP="00A30A59">
      <w:pPr>
        <w:pStyle w:val="NoSpacing"/>
      </w:pPr>
      <w:r>
        <w:t xml:space="preserve">The evaluation is based on </w:t>
      </w:r>
      <w:r w:rsidR="00FE0BAC">
        <w:t xml:space="preserve">analysis of </w:t>
      </w:r>
      <w:r w:rsidR="000C3DB3">
        <w:t xml:space="preserve">data collected from a </w:t>
      </w:r>
      <w:r w:rsidR="00D13862" w:rsidRPr="00D13862">
        <w:t>document review</w:t>
      </w:r>
      <w:r>
        <w:t xml:space="preserve">, </w:t>
      </w:r>
      <w:r w:rsidR="000C3DB3">
        <w:t xml:space="preserve">verification of </w:t>
      </w:r>
      <w:r w:rsidR="001C757C">
        <w:t>data</w:t>
      </w:r>
      <w:r w:rsidR="000C3DB3">
        <w:t xml:space="preserve">, </w:t>
      </w:r>
      <w:r w:rsidR="00741C53">
        <w:t>in-</w:t>
      </w:r>
      <w:r w:rsidR="00D13862" w:rsidRPr="00D13862">
        <w:t xml:space="preserve">depth </w:t>
      </w:r>
      <w:r>
        <w:t xml:space="preserve">telephone (or Skype) </w:t>
      </w:r>
      <w:r w:rsidR="00D13862" w:rsidRPr="00D13862">
        <w:t xml:space="preserve">interviews, </w:t>
      </w:r>
      <w:r>
        <w:t>and written email responses</w:t>
      </w:r>
      <w:r w:rsidR="00D13862" w:rsidRPr="00D13862">
        <w:t xml:space="preserve">. </w:t>
      </w:r>
    </w:p>
    <w:p w:rsidR="00652B63" w:rsidRDefault="00A30A59" w:rsidP="00493997">
      <w:pPr>
        <w:pStyle w:val="NoSpacing"/>
        <w:numPr>
          <w:ilvl w:val="0"/>
          <w:numId w:val="29"/>
        </w:numPr>
      </w:pPr>
      <w:r>
        <w:t xml:space="preserve">Document Review: </w:t>
      </w:r>
      <w:r w:rsidR="00652B63">
        <w:t xml:space="preserve">26 </w:t>
      </w:r>
      <w:r>
        <w:t>key documents (</w:t>
      </w:r>
      <w:r w:rsidR="00FE0BAC">
        <w:t xml:space="preserve">see </w:t>
      </w:r>
      <w:r>
        <w:t xml:space="preserve">Annex 2), </w:t>
      </w:r>
    </w:p>
    <w:p w:rsidR="00A30A59" w:rsidRDefault="00652B63" w:rsidP="00493997">
      <w:pPr>
        <w:pStyle w:val="NoSpacing"/>
        <w:numPr>
          <w:ilvl w:val="0"/>
          <w:numId w:val="29"/>
        </w:numPr>
      </w:pPr>
      <w:r>
        <w:t xml:space="preserve">Verification: </w:t>
      </w:r>
      <w:r w:rsidR="00A30A59" w:rsidRPr="00FE0BAC">
        <w:t>dozens of documents provided by HAI</w:t>
      </w:r>
      <w:r w:rsidR="00A30A59">
        <w:t xml:space="preserve">  </w:t>
      </w:r>
    </w:p>
    <w:p w:rsidR="001C757C" w:rsidRDefault="001C757C" w:rsidP="00493997">
      <w:pPr>
        <w:pStyle w:val="NoSpacing"/>
        <w:numPr>
          <w:ilvl w:val="0"/>
          <w:numId w:val="29"/>
        </w:numPr>
      </w:pPr>
      <w:r>
        <w:t>Total respondents: 46</w:t>
      </w:r>
      <w:r w:rsidR="00FE0BAC">
        <w:t xml:space="preserve"> (see Annex 1)</w:t>
      </w:r>
    </w:p>
    <w:p w:rsidR="00741C53" w:rsidRDefault="00741C53" w:rsidP="00493997">
      <w:pPr>
        <w:pStyle w:val="NoSpacing"/>
        <w:numPr>
          <w:ilvl w:val="0"/>
          <w:numId w:val="29"/>
        </w:numPr>
      </w:pPr>
      <w:r>
        <w:t>In-depth Interviews: 36</w:t>
      </w:r>
    </w:p>
    <w:p w:rsidR="00741C53" w:rsidRDefault="00741C53" w:rsidP="00493997">
      <w:pPr>
        <w:pStyle w:val="NoSpacing"/>
        <w:numPr>
          <w:ilvl w:val="0"/>
          <w:numId w:val="29"/>
        </w:numPr>
      </w:pPr>
      <w:r>
        <w:t>Email Responses: 10</w:t>
      </w:r>
    </w:p>
    <w:p w:rsidR="00652B63" w:rsidRDefault="00652B63" w:rsidP="00493997">
      <w:pPr>
        <w:pStyle w:val="NoSpacing"/>
        <w:numPr>
          <w:ilvl w:val="0"/>
          <w:numId w:val="29"/>
        </w:numPr>
      </w:pPr>
      <w:r>
        <w:t xml:space="preserve">Pakistan </w:t>
      </w:r>
      <w:r w:rsidR="001C757C">
        <w:t>interviews</w:t>
      </w:r>
      <w:r>
        <w:t>: 15</w:t>
      </w:r>
      <w:r w:rsidR="001C757C">
        <w:t xml:space="preserve"> </w:t>
      </w:r>
    </w:p>
    <w:p w:rsidR="008A2EB4" w:rsidRDefault="000A2B9A" w:rsidP="00493997">
      <w:pPr>
        <w:pStyle w:val="NoSpacing"/>
        <w:numPr>
          <w:ilvl w:val="0"/>
          <w:numId w:val="29"/>
        </w:numPr>
      </w:pPr>
      <w:r>
        <w:t xml:space="preserve">Global </w:t>
      </w:r>
      <w:r w:rsidR="008A2EB4">
        <w:t>HAI implementers: 13</w:t>
      </w:r>
    </w:p>
    <w:p w:rsidR="008A2EB4" w:rsidRDefault="000A2B9A" w:rsidP="00493997">
      <w:pPr>
        <w:pStyle w:val="NoSpacing"/>
        <w:numPr>
          <w:ilvl w:val="0"/>
          <w:numId w:val="29"/>
        </w:numPr>
      </w:pPr>
      <w:r>
        <w:t xml:space="preserve">Global </w:t>
      </w:r>
      <w:r w:rsidR="008A2EB4">
        <w:t>Partners: 19</w:t>
      </w:r>
    </w:p>
    <w:p w:rsidR="00A30A59" w:rsidRPr="00D13862" w:rsidRDefault="00A30A59" w:rsidP="00D13862">
      <w:pPr>
        <w:pStyle w:val="NoSpacing"/>
      </w:pPr>
      <w:r>
        <w:t xml:space="preserve"> </w:t>
      </w:r>
    </w:p>
    <w:p w:rsidR="00D13862" w:rsidRDefault="00AD1BA8" w:rsidP="00D13862">
      <w:pPr>
        <w:pStyle w:val="NoSpacing"/>
      </w:pPr>
      <w:r>
        <w:t xml:space="preserve">The evaluation conducted a case study focused on </w:t>
      </w:r>
      <w:r w:rsidR="00E5242F">
        <w:t xml:space="preserve">Pakistan, </w:t>
      </w:r>
      <w:r w:rsidR="00DD436B">
        <w:t xml:space="preserve">where both </w:t>
      </w:r>
      <w:r w:rsidR="0036324D">
        <w:t xml:space="preserve">HOPE </w:t>
      </w:r>
      <w:r w:rsidR="00D13862" w:rsidRPr="00D13862">
        <w:t xml:space="preserve">training and needs assessment </w:t>
      </w:r>
      <w:r>
        <w:t xml:space="preserve">activity was </w:t>
      </w:r>
      <w:r w:rsidR="0036324D">
        <w:t>carried out</w:t>
      </w:r>
      <w:r w:rsidR="00D13862" w:rsidRPr="00D13862">
        <w:t xml:space="preserve">. </w:t>
      </w:r>
      <w:r w:rsidR="00E5242F">
        <w:t xml:space="preserve">However, </w:t>
      </w:r>
      <w:r>
        <w:t>a</w:t>
      </w:r>
      <w:r w:rsidR="00E5242F">
        <w:t xml:space="preserve"> </w:t>
      </w:r>
      <w:r>
        <w:t xml:space="preserve">planned field </w:t>
      </w:r>
      <w:r w:rsidR="00E5242F">
        <w:t xml:space="preserve">trip </w:t>
      </w:r>
      <w:r>
        <w:t xml:space="preserve">to the country </w:t>
      </w:r>
      <w:r w:rsidR="00C77BB0">
        <w:t>was</w:t>
      </w:r>
      <w:r w:rsidR="00DD436B">
        <w:t xml:space="preserve"> </w:t>
      </w:r>
      <w:r w:rsidR="00E5242F">
        <w:t xml:space="preserve">cancelled </w:t>
      </w:r>
      <w:r w:rsidR="00FE0BAC">
        <w:t xml:space="preserve">due to </w:t>
      </w:r>
      <w:r w:rsidR="00E5242F">
        <w:t xml:space="preserve">security </w:t>
      </w:r>
      <w:r w:rsidR="00C77BB0">
        <w:t>warnings</w:t>
      </w:r>
      <w:r w:rsidR="00E5242F">
        <w:t xml:space="preserve">. </w:t>
      </w:r>
      <w:r w:rsidR="00E331D4">
        <w:t>Instead, i</w:t>
      </w:r>
      <w:r w:rsidR="00E5242F">
        <w:t xml:space="preserve">nterviews and group discussions were conducted remotely </w:t>
      </w:r>
      <w:r w:rsidR="00DD436B">
        <w:t>using</w:t>
      </w:r>
      <w:r w:rsidR="00E5242F">
        <w:t xml:space="preserve"> Skype.  </w:t>
      </w:r>
    </w:p>
    <w:p w:rsidR="00E5242F" w:rsidRPr="00D13862" w:rsidRDefault="00E5242F" w:rsidP="00D13862">
      <w:pPr>
        <w:pStyle w:val="NoSpacing"/>
      </w:pPr>
    </w:p>
    <w:p w:rsidR="005F07B6" w:rsidRDefault="005F07B6" w:rsidP="00D13862">
      <w:pPr>
        <w:pStyle w:val="NoSpacing"/>
      </w:pPr>
      <w:r>
        <w:t xml:space="preserve">The evaluation </w:t>
      </w:r>
      <w:r w:rsidR="00FE0BAC">
        <w:t xml:space="preserve">findings </w:t>
      </w:r>
      <w:r>
        <w:t>depended on two levels of a</w:t>
      </w:r>
      <w:r w:rsidR="000E5D88">
        <w:t>nalysis</w:t>
      </w:r>
      <w:r>
        <w:t xml:space="preserve">: </w:t>
      </w:r>
      <w:r w:rsidR="00FE0BAC">
        <w:t xml:space="preserve">detailed </w:t>
      </w:r>
      <w:r>
        <w:t xml:space="preserve">analysis </w:t>
      </w:r>
      <w:r w:rsidR="00FE0BAC">
        <w:t xml:space="preserve">of data </w:t>
      </w:r>
      <w:r w:rsidR="000E5D88">
        <w:t xml:space="preserve">in response </w:t>
      </w:r>
      <w:r w:rsidR="00D13862" w:rsidRPr="00D13862">
        <w:t>to each question</w:t>
      </w:r>
      <w:r>
        <w:t xml:space="preserve">, and a synthesis analysis to reach </w:t>
      </w:r>
      <w:r w:rsidR="00FE0BAC">
        <w:t>main findings. O</w:t>
      </w:r>
      <w:r w:rsidR="00D13862" w:rsidRPr="00D13862">
        <w:t xml:space="preserve">verall conclusions and recommendations </w:t>
      </w:r>
      <w:r w:rsidR="00FE0BAC">
        <w:t xml:space="preserve">were shaped </w:t>
      </w:r>
      <w:r w:rsidR="00D13862" w:rsidRPr="00D13862">
        <w:t>in discussion with HAI</w:t>
      </w:r>
      <w:r w:rsidR="00FE0BAC">
        <w:t xml:space="preserve"> </w:t>
      </w:r>
      <w:r>
        <w:t xml:space="preserve">key staff </w:t>
      </w:r>
      <w:r w:rsidR="00EE5B82">
        <w:t xml:space="preserve">on 21 March 2013. </w:t>
      </w:r>
    </w:p>
    <w:p w:rsidR="00D13862" w:rsidRPr="00D13862" w:rsidRDefault="00D13862" w:rsidP="00D13862">
      <w:pPr>
        <w:pStyle w:val="NoSpacing"/>
      </w:pPr>
    </w:p>
    <w:p w:rsidR="00B25971" w:rsidRDefault="00B25971">
      <w:pPr>
        <w:rPr>
          <w:rFonts w:asciiTheme="majorHAnsi" w:eastAsiaTheme="majorEastAsia" w:hAnsiTheme="majorHAnsi" w:cstheme="majorBidi"/>
          <w:b/>
          <w:bCs/>
          <w:sz w:val="28"/>
          <w:szCs w:val="28"/>
        </w:rPr>
      </w:pPr>
      <w:r>
        <w:br w:type="page"/>
      </w:r>
    </w:p>
    <w:p w:rsidR="001A72EF" w:rsidRPr="001A72EF" w:rsidRDefault="00276A4B" w:rsidP="001A72EF">
      <w:pPr>
        <w:pStyle w:val="Heading1"/>
        <w:rPr>
          <w:color w:val="auto"/>
        </w:rPr>
      </w:pPr>
      <w:bookmarkStart w:id="5" w:name="_Toc352225932"/>
      <w:r>
        <w:rPr>
          <w:color w:val="auto"/>
        </w:rPr>
        <w:t>Main</w:t>
      </w:r>
      <w:r w:rsidR="001A72EF" w:rsidRPr="001A72EF">
        <w:rPr>
          <w:color w:val="auto"/>
        </w:rPr>
        <w:t xml:space="preserve"> Findings</w:t>
      </w:r>
      <w:bookmarkEnd w:id="5"/>
    </w:p>
    <w:p w:rsidR="005511C0" w:rsidRDefault="005511C0" w:rsidP="005511C0">
      <w:pPr>
        <w:pStyle w:val="NoSpacing"/>
      </w:pPr>
      <w:r>
        <w:t xml:space="preserve">This section presents the main findings of the evaluation. </w:t>
      </w:r>
    </w:p>
    <w:p w:rsidR="009763AD" w:rsidRPr="00E459BE" w:rsidRDefault="009763AD" w:rsidP="009763AD">
      <w:pPr>
        <w:pStyle w:val="Heading3"/>
        <w:rPr>
          <w:rFonts w:asciiTheme="minorHAnsi" w:hAnsiTheme="minorHAnsi"/>
          <w:color w:val="auto"/>
          <w:sz w:val="24"/>
        </w:rPr>
      </w:pPr>
      <w:bookmarkStart w:id="6" w:name="_Toc352225933"/>
      <w:r w:rsidRPr="00E459BE">
        <w:rPr>
          <w:rFonts w:asciiTheme="minorHAnsi" w:hAnsiTheme="minorHAnsi"/>
          <w:color w:val="auto"/>
          <w:sz w:val="24"/>
        </w:rPr>
        <w:t>1. Providing Expertise</w:t>
      </w:r>
      <w:bookmarkEnd w:id="6"/>
    </w:p>
    <w:p w:rsidR="009763AD" w:rsidRDefault="00621279" w:rsidP="009763AD">
      <w:pPr>
        <w:pStyle w:val="NoSpacing"/>
      </w:pPr>
      <w:r>
        <w:t>In</w:t>
      </w:r>
      <w:r w:rsidR="009763AD">
        <w:t xml:space="preserve"> </w:t>
      </w:r>
      <w:r w:rsidR="003B637B">
        <w:t xml:space="preserve">the first </w:t>
      </w:r>
      <w:r w:rsidR="009763AD">
        <w:t>work stream, HAI undertook to achieve the following result</w:t>
      </w:r>
      <w:r w:rsidR="00B25971">
        <w:t xml:space="preserve"> through training,</w:t>
      </w:r>
      <w:r w:rsidR="003B637B">
        <w:t xml:space="preserve"> technical guideline production, policy publications, and direct engagement with clusters and key humanitarian actors</w:t>
      </w:r>
      <w:r w:rsidR="009763AD">
        <w:t xml:space="preserve">: </w:t>
      </w:r>
    </w:p>
    <w:p w:rsidR="00F229AD" w:rsidRDefault="00F229AD" w:rsidP="009763AD">
      <w:pPr>
        <w:pStyle w:val="NoSpacing"/>
      </w:pPr>
    </w:p>
    <w:p w:rsidR="009763AD" w:rsidRPr="00E55E88" w:rsidRDefault="009763AD" w:rsidP="009763AD">
      <w:pPr>
        <w:pStyle w:val="NoSpacing"/>
        <w:rPr>
          <w:i/>
        </w:rPr>
      </w:pPr>
      <w:r w:rsidRPr="00E55E88">
        <w:rPr>
          <w:i/>
        </w:rPr>
        <w:t>‘To provide expertise to facilitate humanitarian clusters and partners at both global and field level to mainstream age, disability and other cross-cutting issues such as gender into international humanitarian response work</w:t>
      </w:r>
      <w:r w:rsidR="00621279">
        <w:rPr>
          <w:i/>
        </w:rPr>
        <w:t>.</w:t>
      </w:r>
      <w:r w:rsidRPr="00E55E88">
        <w:rPr>
          <w:i/>
        </w:rPr>
        <w:t>’</w:t>
      </w:r>
    </w:p>
    <w:p w:rsidR="009763AD" w:rsidRDefault="009763AD" w:rsidP="009763AD">
      <w:pPr>
        <w:pStyle w:val="NoSpacing"/>
      </w:pPr>
    </w:p>
    <w:p w:rsidR="009763AD" w:rsidRDefault="003862FE" w:rsidP="009763AD">
      <w:pPr>
        <w:pStyle w:val="NoSpacing"/>
      </w:pPr>
      <w:r>
        <w:t xml:space="preserve">For the objective, </w:t>
      </w:r>
      <w:r w:rsidR="009763AD">
        <w:t xml:space="preserve">HAI proposed five indicators of success: </w:t>
      </w:r>
    </w:p>
    <w:p w:rsidR="009763AD" w:rsidRDefault="009763AD" w:rsidP="009763AD">
      <w:pPr>
        <w:pStyle w:val="NoSpacing"/>
        <w:numPr>
          <w:ilvl w:val="0"/>
          <w:numId w:val="1"/>
        </w:numPr>
      </w:pPr>
      <w:r>
        <w:t>Training: 200 field staff trained on ageing and disability and 80 senior HQ staff sensitised on ageing and disability by the end of 2012.</w:t>
      </w:r>
    </w:p>
    <w:p w:rsidR="009763AD" w:rsidRDefault="009763AD" w:rsidP="009763AD">
      <w:pPr>
        <w:pStyle w:val="NoSpacing"/>
        <w:numPr>
          <w:ilvl w:val="0"/>
          <w:numId w:val="1"/>
        </w:numPr>
      </w:pPr>
      <w:r>
        <w:t>Publications: 1 detailed policy report and 2 best practice guidelines published and disseminated by end 2012</w:t>
      </w:r>
    </w:p>
    <w:p w:rsidR="009763AD" w:rsidRDefault="009763AD" w:rsidP="009763AD">
      <w:pPr>
        <w:pStyle w:val="NoSpacing"/>
        <w:numPr>
          <w:ilvl w:val="0"/>
          <w:numId w:val="1"/>
        </w:numPr>
      </w:pPr>
      <w:r>
        <w:t>Collaboration: Joint work on ageing undertaken in at least 2 major humanitarian contexts with key NGO partners</w:t>
      </w:r>
    </w:p>
    <w:p w:rsidR="009763AD" w:rsidRDefault="009763AD" w:rsidP="009763AD">
      <w:pPr>
        <w:pStyle w:val="NoSpacing"/>
        <w:numPr>
          <w:ilvl w:val="0"/>
          <w:numId w:val="1"/>
        </w:numPr>
      </w:pPr>
      <w:r>
        <w:t>Clusters: Worked with 2 global level clusters to support capacity to mainstream age related issues</w:t>
      </w:r>
    </w:p>
    <w:p w:rsidR="009763AD" w:rsidRDefault="009763AD" w:rsidP="009763AD">
      <w:pPr>
        <w:pStyle w:val="NoSpacing"/>
        <w:numPr>
          <w:ilvl w:val="0"/>
          <w:numId w:val="1"/>
        </w:numPr>
      </w:pPr>
      <w:r>
        <w:t>Appeals: Performance in CAP and Flash appeals in 2011-12 compared to 2008-10</w:t>
      </w:r>
    </w:p>
    <w:p w:rsidR="009763AD" w:rsidRDefault="009763AD" w:rsidP="009763AD">
      <w:pPr>
        <w:pStyle w:val="NoSpacing"/>
      </w:pPr>
    </w:p>
    <w:p w:rsidR="006110EA" w:rsidRPr="004C4DEF" w:rsidRDefault="009763AD" w:rsidP="006110EA">
      <w:pPr>
        <w:pStyle w:val="NoSpacing"/>
        <w:rPr>
          <w:b/>
        </w:rPr>
      </w:pPr>
      <w:r>
        <w:rPr>
          <w:b/>
        </w:rPr>
        <w:t>1.</w:t>
      </w:r>
      <w:r w:rsidR="00FC5942">
        <w:rPr>
          <w:b/>
        </w:rPr>
        <w:t>1</w:t>
      </w:r>
      <w:r>
        <w:rPr>
          <w:b/>
        </w:rPr>
        <w:t xml:space="preserve"> </w:t>
      </w:r>
      <w:r w:rsidR="004C4DEF">
        <w:rPr>
          <w:b/>
        </w:rPr>
        <w:t>Relevance</w:t>
      </w:r>
    </w:p>
    <w:p w:rsidR="004505D8" w:rsidRDefault="00A81031" w:rsidP="00A81031">
      <w:pPr>
        <w:pStyle w:val="NoSpacing"/>
      </w:pPr>
      <w:r>
        <w:t xml:space="preserve">HAI’s work to provide expertise is relevant and appropriate. </w:t>
      </w:r>
      <w:r w:rsidR="004505D8">
        <w:t xml:space="preserve">Providing expertise is </w:t>
      </w:r>
      <w:r w:rsidR="008F4E66">
        <w:t xml:space="preserve">a </w:t>
      </w:r>
      <w:r w:rsidR="004505D8">
        <w:t>logical activity</w:t>
      </w:r>
      <w:r w:rsidR="008F4E66">
        <w:t xml:space="preserve"> for HAI</w:t>
      </w:r>
      <w:r w:rsidR="00B06BEE">
        <w:t>, in support of the project’s overall objective (to increase capacity). T</w:t>
      </w:r>
      <w:r w:rsidR="00037CF1">
        <w:t xml:space="preserve">he </w:t>
      </w:r>
      <w:r w:rsidR="004505D8">
        <w:t xml:space="preserve">IASC </w:t>
      </w:r>
      <w:r w:rsidR="008F4E66">
        <w:t>explicit</w:t>
      </w:r>
      <w:r w:rsidR="00B06BEE">
        <w:t>ly</w:t>
      </w:r>
      <w:r w:rsidR="008F4E66">
        <w:t xml:space="preserve"> </w:t>
      </w:r>
      <w:r w:rsidR="004505D8">
        <w:t>request</w:t>
      </w:r>
      <w:r w:rsidR="00B06BEE">
        <w:t>ed</w:t>
      </w:r>
      <w:r w:rsidR="008F4E66">
        <w:t xml:space="preserve"> </w:t>
      </w:r>
      <w:r w:rsidR="00801125">
        <w:t>such activities</w:t>
      </w:r>
      <w:r w:rsidR="00A40AB2">
        <w:t>,</w:t>
      </w:r>
      <w:r w:rsidR="00A40AB2">
        <w:rPr>
          <w:rStyle w:val="FootnoteReference"/>
        </w:rPr>
        <w:footnoteReference w:id="18"/>
      </w:r>
      <w:r w:rsidR="004505D8">
        <w:t xml:space="preserve"> </w:t>
      </w:r>
      <w:r w:rsidR="00151DCD">
        <w:t>a</w:t>
      </w:r>
      <w:r w:rsidR="00B06BEE">
        <w:t xml:space="preserve">nd humanitarian actors continue to </w:t>
      </w:r>
      <w:r w:rsidR="004505D8">
        <w:t xml:space="preserve">need capacity building </w:t>
      </w:r>
      <w:r w:rsidR="00B06BEE">
        <w:t>on inclusion</w:t>
      </w:r>
      <w:r w:rsidR="008F4E66">
        <w:t xml:space="preserve">. </w:t>
      </w:r>
      <w:r w:rsidR="00B06BEE">
        <w:t xml:space="preserve">Providing expertise </w:t>
      </w:r>
      <w:r w:rsidR="008F4E66">
        <w:t xml:space="preserve">is </w:t>
      </w:r>
      <w:r w:rsidR="00B06BEE">
        <w:t xml:space="preserve">a </w:t>
      </w:r>
      <w:r w:rsidR="004505D8">
        <w:t xml:space="preserve">more appropriate </w:t>
      </w:r>
      <w:r w:rsidR="00B06BEE">
        <w:t xml:space="preserve">approach </w:t>
      </w:r>
      <w:r w:rsidR="004505D8">
        <w:t>to achiev</w:t>
      </w:r>
      <w:r w:rsidR="00B06BEE">
        <w:t xml:space="preserve">ing </w:t>
      </w:r>
      <w:r w:rsidR="00801125">
        <w:t xml:space="preserve">inclusion </w:t>
      </w:r>
      <w:r w:rsidR="004505D8">
        <w:t>than establishing niche</w:t>
      </w:r>
      <w:r w:rsidR="008F4E66">
        <w:t xml:space="preserve"> services</w:t>
      </w:r>
      <w:r w:rsidR="00B06BEE">
        <w:t>, given HAI’s limited resources</w:t>
      </w:r>
      <w:r w:rsidR="008F4E66" w:rsidRPr="00A81031">
        <w:t xml:space="preserve">. </w:t>
      </w:r>
      <w:r w:rsidRPr="00A81031">
        <w:t>Yet</w:t>
      </w:r>
      <w:r w:rsidR="00B06BEE" w:rsidRPr="00A81031">
        <w:t xml:space="preserve"> partners </w:t>
      </w:r>
      <w:r w:rsidR="00614666" w:rsidRPr="00A81031">
        <w:t xml:space="preserve">also consider relevance to depend on </w:t>
      </w:r>
      <w:r w:rsidR="00093D53" w:rsidRPr="00A81031">
        <w:t>HAI</w:t>
      </w:r>
      <w:r w:rsidR="00614666" w:rsidRPr="00A81031">
        <w:t>’s ability to</w:t>
      </w:r>
      <w:r w:rsidR="00B06BEE" w:rsidRPr="00A81031">
        <w:t xml:space="preserve"> </w:t>
      </w:r>
      <w:r w:rsidR="008F4E66" w:rsidRPr="00A81031">
        <w:t xml:space="preserve">implement its own expertise, </w:t>
      </w:r>
      <w:r w:rsidR="00614666" w:rsidRPr="00A81031">
        <w:t xml:space="preserve">to </w:t>
      </w:r>
      <w:r w:rsidR="008F4E66" w:rsidRPr="00A81031">
        <w:t>includ</w:t>
      </w:r>
      <w:r w:rsidR="00093D53" w:rsidRPr="00A81031">
        <w:t>e</w:t>
      </w:r>
      <w:r w:rsidR="008F4E66" w:rsidRPr="00A81031">
        <w:t xml:space="preserve"> expertise on disability, </w:t>
      </w:r>
      <w:r w:rsidR="00614666" w:rsidRPr="00A81031">
        <w:t xml:space="preserve">to </w:t>
      </w:r>
      <w:r w:rsidR="008F4E66" w:rsidRPr="00A81031">
        <w:t>engag</w:t>
      </w:r>
      <w:r w:rsidR="00093D53" w:rsidRPr="00A81031">
        <w:t>e</w:t>
      </w:r>
      <w:r w:rsidR="008F4E66" w:rsidRPr="00A81031">
        <w:t xml:space="preserve"> with global cluster coordinators, and </w:t>
      </w:r>
      <w:r w:rsidR="00614666" w:rsidRPr="00A81031">
        <w:t xml:space="preserve">to </w:t>
      </w:r>
      <w:r w:rsidR="008F4E66" w:rsidRPr="00A81031">
        <w:t>prioritiz</w:t>
      </w:r>
      <w:r w:rsidR="00093D53" w:rsidRPr="00A81031">
        <w:t>e field-based NGOs</w:t>
      </w:r>
      <w:r w:rsidR="00614666" w:rsidRPr="00A81031">
        <w:t>.</w:t>
      </w:r>
      <w:r w:rsidR="00614666">
        <w:t xml:space="preserve"> </w:t>
      </w:r>
    </w:p>
    <w:p w:rsidR="00A40AB2" w:rsidRDefault="00A40AB2" w:rsidP="004505D8">
      <w:pPr>
        <w:spacing w:after="0" w:line="240" w:lineRule="auto"/>
      </w:pPr>
    </w:p>
    <w:p w:rsidR="00E63806" w:rsidRDefault="00A6579D" w:rsidP="00801125">
      <w:pPr>
        <w:spacing w:after="0" w:line="240" w:lineRule="auto"/>
      </w:pPr>
      <w:r>
        <w:t xml:space="preserve">Providing expertise </w:t>
      </w:r>
      <w:r w:rsidR="00886D6A">
        <w:t>is</w:t>
      </w:r>
      <w:r>
        <w:t xml:space="preserve"> </w:t>
      </w:r>
      <w:r w:rsidR="008F1A5E">
        <w:t>a</w:t>
      </w:r>
      <w:r w:rsidR="00886D6A">
        <w:t xml:space="preserve">n appropriate </w:t>
      </w:r>
      <w:r w:rsidR="008F1A5E">
        <w:t>way</w:t>
      </w:r>
      <w:r w:rsidR="00E63806" w:rsidRPr="00EA5E17">
        <w:t xml:space="preserve"> </w:t>
      </w:r>
      <w:r w:rsidR="008F1A5E">
        <w:t xml:space="preserve">to </w:t>
      </w:r>
      <w:r w:rsidR="00E63806" w:rsidRPr="00EA5E17">
        <w:t>rais</w:t>
      </w:r>
      <w:r w:rsidR="008F1A5E">
        <w:t>e</w:t>
      </w:r>
      <w:r w:rsidR="00E63806" w:rsidRPr="00EA5E17">
        <w:t xml:space="preserve"> awareness and build capacity </w:t>
      </w:r>
      <w:r w:rsidR="00886D6A">
        <w:t>among</w:t>
      </w:r>
      <w:r w:rsidR="00E63806" w:rsidRPr="00EA5E17">
        <w:t xml:space="preserve"> humanitarian</w:t>
      </w:r>
      <w:r w:rsidR="00886D6A">
        <w:t xml:space="preserve">s. </w:t>
      </w:r>
      <w:r w:rsidRPr="00EA5E17">
        <w:t>Training</w:t>
      </w:r>
      <w:r>
        <w:t xml:space="preserve">, </w:t>
      </w:r>
      <w:r w:rsidRPr="00EA5E17">
        <w:t>guidance</w:t>
      </w:r>
      <w:r>
        <w:t xml:space="preserve">, and direct engagement </w:t>
      </w:r>
      <w:r w:rsidR="003633BD">
        <w:t>could</w:t>
      </w:r>
      <w:r>
        <w:t xml:space="preserve"> </w:t>
      </w:r>
      <w:r w:rsidR="00E47396">
        <w:t xml:space="preserve">each </w:t>
      </w:r>
      <w:r>
        <w:t xml:space="preserve">advance humanitarian actors along a </w:t>
      </w:r>
      <w:r w:rsidR="00E63806" w:rsidRPr="00EA5E17">
        <w:t>continuum</w:t>
      </w:r>
      <w:r>
        <w:t xml:space="preserve"> of change that includes </w:t>
      </w:r>
      <w:r w:rsidR="00E63806" w:rsidRPr="00EA5E17">
        <w:t>awareness</w:t>
      </w:r>
      <w:r>
        <w:t xml:space="preserve">, </w:t>
      </w:r>
      <w:r w:rsidR="00E63806" w:rsidRPr="00EA5E17">
        <w:t>attitudes</w:t>
      </w:r>
      <w:r>
        <w:t xml:space="preserve">, </w:t>
      </w:r>
      <w:r w:rsidR="00E63806" w:rsidRPr="00EA5E17">
        <w:t>competencies</w:t>
      </w:r>
      <w:r>
        <w:t xml:space="preserve">, and ultimately </w:t>
      </w:r>
      <w:r w:rsidR="00E63806" w:rsidRPr="00EA5E17">
        <w:t xml:space="preserve">action. </w:t>
      </w:r>
      <w:r w:rsidR="00E63806">
        <w:t xml:space="preserve">Training </w:t>
      </w:r>
      <w:r w:rsidR="00E47396">
        <w:t xml:space="preserve">in particular </w:t>
      </w:r>
      <w:r w:rsidR="00E63806">
        <w:t>responds to specific needs</w:t>
      </w:r>
      <w:r>
        <w:t xml:space="preserve"> among actors</w:t>
      </w:r>
      <w:r w:rsidR="009917DC">
        <w:t xml:space="preserve">. </w:t>
      </w:r>
      <w:r w:rsidR="003D6FDD">
        <w:t>In Pakistan,</w:t>
      </w:r>
      <w:r>
        <w:t xml:space="preserve"> for example, </w:t>
      </w:r>
      <w:r w:rsidR="003D6FDD">
        <w:t xml:space="preserve">where an aging population is vulnerable to disasters, HAI’s country team </w:t>
      </w:r>
      <w:r w:rsidR="003713D2">
        <w:t>plans to</w:t>
      </w:r>
      <w:r w:rsidR="006E768F">
        <w:t xml:space="preserve"> </w:t>
      </w:r>
      <w:r w:rsidR="003D6FDD">
        <w:t>provid</w:t>
      </w:r>
      <w:r w:rsidR="006E768F">
        <w:t>e</w:t>
      </w:r>
      <w:r w:rsidR="003D6FDD">
        <w:t xml:space="preserve"> </w:t>
      </w:r>
      <w:r>
        <w:t xml:space="preserve">the training </w:t>
      </w:r>
      <w:r w:rsidR="003D6FDD">
        <w:t xml:space="preserve">to 170 organizations across the country. </w:t>
      </w:r>
      <w:r w:rsidR="00DA52CB">
        <w:t>However,</w:t>
      </w:r>
      <w:r w:rsidR="003D6FDD">
        <w:t xml:space="preserve"> </w:t>
      </w:r>
      <w:r w:rsidR="009917DC">
        <w:t xml:space="preserve">training </w:t>
      </w:r>
      <w:r w:rsidR="00FB61EC">
        <w:t xml:space="preserve">alone </w:t>
      </w:r>
      <w:r w:rsidR="009917DC">
        <w:t xml:space="preserve">will </w:t>
      </w:r>
      <w:r>
        <w:t xml:space="preserve">not </w:t>
      </w:r>
      <w:r w:rsidR="009917DC">
        <w:t xml:space="preserve">change the </w:t>
      </w:r>
      <w:r w:rsidR="003D6FDD">
        <w:t>programmes</w:t>
      </w:r>
      <w:r w:rsidR="009917DC">
        <w:t xml:space="preserve"> of participants</w:t>
      </w:r>
      <w:r w:rsidR="00FB61EC">
        <w:t xml:space="preserve">, unless it includes </w:t>
      </w:r>
      <w:r w:rsidR="009917DC">
        <w:t>follow</w:t>
      </w:r>
      <w:r w:rsidR="005E714A">
        <w:t>-</w:t>
      </w:r>
      <w:r w:rsidR="009917DC">
        <w:t xml:space="preserve">up </w:t>
      </w:r>
      <w:r w:rsidR="0094168B">
        <w:t>in</w:t>
      </w:r>
      <w:r w:rsidR="005E714A">
        <w:t xml:space="preserve"> support </w:t>
      </w:r>
      <w:r w:rsidR="0094168B">
        <w:t xml:space="preserve">of </w:t>
      </w:r>
      <w:r w:rsidR="009917DC">
        <w:t xml:space="preserve">specific changes. </w:t>
      </w:r>
      <w:r w:rsidR="002D0AA0">
        <w:t xml:space="preserve">Even then, </w:t>
      </w:r>
      <w:r w:rsidR="003D6FDD">
        <w:t>i</w:t>
      </w:r>
      <w:r w:rsidR="009917DC">
        <w:t xml:space="preserve">t </w:t>
      </w:r>
      <w:r w:rsidR="00806BFF">
        <w:t xml:space="preserve">cannot </w:t>
      </w:r>
      <w:r>
        <w:t xml:space="preserve">expect to </w:t>
      </w:r>
      <w:r w:rsidR="009917DC">
        <w:t xml:space="preserve">change the </w:t>
      </w:r>
      <w:r w:rsidR="003D6FDD">
        <w:t xml:space="preserve">humanitarian </w:t>
      </w:r>
      <w:r w:rsidR="009917DC">
        <w:t>system</w:t>
      </w:r>
      <w:r w:rsidR="005E714A">
        <w:t xml:space="preserve"> </w:t>
      </w:r>
      <w:r w:rsidR="009917DC">
        <w:t xml:space="preserve">without </w:t>
      </w:r>
      <w:r w:rsidR="003D6FDD">
        <w:t xml:space="preserve">a strategy for reaching many more people and offering </w:t>
      </w:r>
      <w:r w:rsidR="009917DC">
        <w:t>much greater accessibility</w:t>
      </w:r>
      <w:r w:rsidR="001F0E13">
        <w:t xml:space="preserve"> to training</w:t>
      </w:r>
      <w:r w:rsidR="009917DC">
        <w:t xml:space="preserve">. </w:t>
      </w:r>
    </w:p>
    <w:p w:rsidR="009443BD" w:rsidRDefault="009443BD" w:rsidP="00801125">
      <w:pPr>
        <w:spacing w:after="0" w:line="240" w:lineRule="auto"/>
      </w:pPr>
    </w:p>
    <w:p w:rsidR="00142104" w:rsidRPr="00151DCD" w:rsidRDefault="009443BD" w:rsidP="009443BD">
      <w:pPr>
        <w:pStyle w:val="NoSpacing"/>
      </w:pPr>
      <w:r>
        <w:t xml:space="preserve">Providing expertise is consistent with HAI’s </w:t>
      </w:r>
      <w:r w:rsidR="00142104">
        <w:t>strategy of building expertise, sharing it</w:t>
      </w:r>
      <w:r w:rsidR="001F0E13">
        <w:t xml:space="preserve">, </w:t>
      </w:r>
      <w:r w:rsidR="00142104">
        <w:t>and bringing it to scale.</w:t>
      </w:r>
      <w:r w:rsidR="00A6579D">
        <w:rPr>
          <w:rStyle w:val="FootnoteReference"/>
        </w:rPr>
        <w:footnoteReference w:id="19"/>
      </w:r>
      <w:r w:rsidR="00142104">
        <w:t xml:space="preserve"> </w:t>
      </w:r>
      <w:r w:rsidR="007D533F">
        <w:t>Similarly, i</w:t>
      </w:r>
      <w:r w:rsidR="00142104">
        <w:t xml:space="preserve">t </w:t>
      </w:r>
      <w:r w:rsidR="00704914">
        <w:t xml:space="preserve">follows </w:t>
      </w:r>
      <w:r w:rsidR="00E711AE">
        <w:t>HAI’s</w:t>
      </w:r>
      <w:r w:rsidR="00142104">
        <w:t xml:space="preserve"> </w:t>
      </w:r>
      <w:r>
        <w:t>theory of change</w:t>
      </w:r>
      <w:r w:rsidR="00142104">
        <w:t xml:space="preserve">: </w:t>
      </w:r>
      <w:r w:rsidR="00F96ED1">
        <w:t>to ‘achieve significant impact indirectly by embedding (…) in the international humanitarian system</w:t>
      </w:r>
      <w:r w:rsidR="00142104">
        <w:t>.</w:t>
      </w:r>
      <w:r w:rsidR="00F96ED1">
        <w:t>’</w:t>
      </w:r>
      <w:r w:rsidR="00142104">
        <w:t xml:space="preserve"> </w:t>
      </w:r>
      <w:r w:rsidR="00A63E11">
        <w:t>The t</w:t>
      </w:r>
      <w:r w:rsidR="00151DCD">
        <w:t>raining was welcomed by s</w:t>
      </w:r>
      <w:r w:rsidR="00142104" w:rsidRPr="00151DCD">
        <w:t xml:space="preserve">everal HAI field offices (though not all wished to </w:t>
      </w:r>
      <w:r w:rsidR="00A6579D">
        <w:t>co-finance it</w:t>
      </w:r>
      <w:r w:rsidR="00142104" w:rsidRPr="00151DCD">
        <w:t xml:space="preserve">), and </w:t>
      </w:r>
      <w:r w:rsidR="00151DCD">
        <w:t xml:space="preserve">used by </w:t>
      </w:r>
      <w:r w:rsidR="00151DCD" w:rsidRPr="00151DCD">
        <w:t xml:space="preserve">HAI </w:t>
      </w:r>
      <w:r w:rsidR="00142104" w:rsidRPr="00151DCD">
        <w:t xml:space="preserve">Pakistan </w:t>
      </w:r>
      <w:r w:rsidR="00151DCD">
        <w:t xml:space="preserve">in its strategy </w:t>
      </w:r>
      <w:r w:rsidR="00151DCD" w:rsidRPr="00151DCD">
        <w:t>to build implementing partnerships throughout the country</w:t>
      </w:r>
      <w:r w:rsidR="00151DCD">
        <w:t xml:space="preserve">. </w:t>
      </w:r>
      <w:r w:rsidR="00151DCD" w:rsidRPr="00151DCD">
        <w:t xml:space="preserve">Guidelines are </w:t>
      </w:r>
      <w:r w:rsidR="00D6102C">
        <w:t xml:space="preserve">also </w:t>
      </w:r>
      <w:r w:rsidR="00E711AE">
        <w:t xml:space="preserve">considered </w:t>
      </w:r>
      <w:r w:rsidR="00151DCD" w:rsidRPr="00151DCD">
        <w:t>useful for HAI if practical, easy-to-use, and field-based</w:t>
      </w:r>
      <w:r w:rsidR="00E711AE">
        <w:t>, and</w:t>
      </w:r>
      <w:r w:rsidR="00151DCD" w:rsidRPr="00151DCD">
        <w:t xml:space="preserve"> includ</w:t>
      </w:r>
      <w:r w:rsidR="003633BD">
        <w:t>e</w:t>
      </w:r>
      <w:r w:rsidR="00151DCD" w:rsidRPr="00151DCD">
        <w:t xml:space="preserve"> best practices and checklists.</w:t>
      </w:r>
      <w:r w:rsidR="00151DCD" w:rsidRPr="002175BA">
        <w:t xml:space="preserve"> </w:t>
      </w:r>
      <w:r w:rsidR="00151DCD">
        <w:t xml:space="preserve"> </w:t>
      </w:r>
    </w:p>
    <w:p w:rsidR="009443BD" w:rsidRDefault="009443BD" w:rsidP="009443BD">
      <w:pPr>
        <w:pStyle w:val="NoSpacing"/>
      </w:pPr>
    </w:p>
    <w:p w:rsidR="00F52203" w:rsidRPr="00850423" w:rsidRDefault="00E4456E" w:rsidP="00E4456E">
      <w:pPr>
        <w:pStyle w:val="NoSpacing"/>
      </w:pPr>
      <w:r>
        <w:t xml:space="preserve">However, HAI’s provision of expertise is </w:t>
      </w:r>
      <w:r w:rsidR="004174F0">
        <w:t xml:space="preserve">appropriate </w:t>
      </w:r>
      <w:r w:rsidR="00604946">
        <w:t xml:space="preserve">within </w:t>
      </w:r>
      <w:r w:rsidR="00614666">
        <w:t xml:space="preserve">certain </w:t>
      </w:r>
      <w:r w:rsidR="00604946">
        <w:t>limits</w:t>
      </w:r>
      <w:r>
        <w:t xml:space="preserve">. HAI cannot be the only provider of expertise on inclusion of older people </w:t>
      </w:r>
      <w:r w:rsidR="00850423" w:rsidRPr="00850423">
        <w:t>to clusters and interested partners</w:t>
      </w:r>
      <w:r>
        <w:t xml:space="preserve">; it will take more than HAI to provide </w:t>
      </w:r>
      <w:r w:rsidR="00850423">
        <w:t xml:space="preserve">expertise to </w:t>
      </w:r>
      <w:r>
        <w:t xml:space="preserve">the </w:t>
      </w:r>
      <w:r w:rsidR="00C329DA">
        <w:t xml:space="preserve">full </w:t>
      </w:r>
      <w:r w:rsidR="00850423">
        <w:t xml:space="preserve">range of humanitarian actors, </w:t>
      </w:r>
      <w:r w:rsidR="0035337F">
        <w:t xml:space="preserve">donors, </w:t>
      </w:r>
      <w:r w:rsidR="00850423">
        <w:t>governments</w:t>
      </w:r>
      <w:r w:rsidR="001F052E">
        <w:t>, DRR</w:t>
      </w:r>
      <w:r w:rsidR="00850423">
        <w:t xml:space="preserve"> and development actors</w:t>
      </w:r>
      <w:r w:rsidR="00C329DA">
        <w:t xml:space="preserve"> whose policies and practices are not inclusive</w:t>
      </w:r>
      <w:r w:rsidR="00850423">
        <w:t xml:space="preserve">. </w:t>
      </w:r>
      <w:r w:rsidR="00604946">
        <w:t>At field level, t</w:t>
      </w:r>
      <w:r w:rsidR="00304441">
        <w:t xml:space="preserve">raining is appropriate for interested organizations </w:t>
      </w:r>
      <w:r w:rsidR="00604946">
        <w:t>that</w:t>
      </w:r>
      <w:r w:rsidR="00304441">
        <w:t xml:space="preserve"> </w:t>
      </w:r>
      <w:r w:rsidR="003935A2">
        <w:t>need sensitization as a first step</w:t>
      </w:r>
      <w:r w:rsidR="003935A2" w:rsidRPr="003935A2">
        <w:t xml:space="preserve"> </w:t>
      </w:r>
      <w:r w:rsidR="003935A2">
        <w:t xml:space="preserve">to including older people, </w:t>
      </w:r>
      <w:r>
        <w:t xml:space="preserve">but requires </w:t>
      </w:r>
      <w:r w:rsidR="003935A2">
        <w:t>systematic follow-up and wider advocacy to</w:t>
      </w:r>
      <w:r w:rsidR="00304441">
        <w:t xml:space="preserve"> donors,</w:t>
      </w:r>
      <w:r w:rsidR="003935A2">
        <w:t xml:space="preserve"> </w:t>
      </w:r>
      <w:r w:rsidR="00304441">
        <w:t>government,</w:t>
      </w:r>
      <w:r w:rsidR="003935A2">
        <w:t xml:space="preserve"> and civil society actors. </w:t>
      </w:r>
      <w:r w:rsidR="00304441">
        <w:t xml:space="preserve">Guidelines are </w:t>
      </w:r>
      <w:r w:rsidR="00B85D82">
        <w:t>appropriate</w:t>
      </w:r>
      <w:r w:rsidR="00304441">
        <w:t xml:space="preserve"> for organizations that are aware and willing to include older people, </w:t>
      </w:r>
      <w:r>
        <w:t xml:space="preserve">but </w:t>
      </w:r>
      <w:r w:rsidR="00B85D82">
        <w:t xml:space="preserve">they </w:t>
      </w:r>
      <w:r w:rsidR="00304441">
        <w:t>must be carefully designed and targeted</w:t>
      </w:r>
      <w:r w:rsidR="00CF5EEE">
        <w:t xml:space="preserve"> to them</w:t>
      </w:r>
      <w:r w:rsidR="00304441">
        <w:t xml:space="preserve">. Direct </w:t>
      </w:r>
      <w:r w:rsidR="006A746C">
        <w:t xml:space="preserve">deployments to global clusters are a particularly apt way to build the system’s capacity, </w:t>
      </w:r>
      <w:r w:rsidR="0013049F">
        <w:t>but they must</w:t>
      </w:r>
      <w:r w:rsidR="006A746C">
        <w:t xml:space="preserve"> offer expertise </w:t>
      </w:r>
      <w:r>
        <w:t xml:space="preserve">in gender, age, and disability; </w:t>
      </w:r>
      <w:r w:rsidR="0013049F">
        <w:t xml:space="preserve">be </w:t>
      </w:r>
      <w:r>
        <w:t xml:space="preserve">available </w:t>
      </w:r>
      <w:r w:rsidR="006A746C">
        <w:t xml:space="preserve">alongside existing standby mechanisms; and deploy early in a crisis to shape the response.   </w:t>
      </w:r>
      <w:r w:rsidR="00304441">
        <w:t xml:space="preserve"> </w:t>
      </w:r>
    </w:p>
    <w:p w:rsidR="00850423" w:rsidRDefault="00850423" w:rsidP="009443BD">
      <w:pPr>
        <w:pStyle w:val="NoSpacing"/>
      </w:pPr>
    </w:p>
    <w:p w:rsidR="00145431" w:rsidRPr="009763AD" w:rsidRDefault="00145431" w:rsidP="00145431">
      <w:pPr>
        <w:pStyle w:val="NoSpacing"/>
        <w:ind w:left="720"/>
        <w:rPr>
          <w:i/>
        </w:rPr>
      </w:pPr>
      <w:r>
        <w:rPr>
          <w:i/>
        </w:rPr>
        <w:t xml:space="preserve">‘Now </w:t>
      </w:r>
      <w:proofErr w:type="spellStart"/>
      <w:r>
        <w:rPr>
          <w:i/>
        </w:rPr>
        <w:t>H</w:t>
      </w:r>
      <w:r w:rsidRPr="009763AD">
        <w:rPr>
          <w:i/>
        </w:rPr>
        <w:t>elp</w:t>
      </w:r>
      <w:r>
        <w:rPr>
          <w:i/>
        </w:rPr>
        <w:t>A</w:t>
      </w:r>
      <w:r w:rsidRPr="009763AD">
        <w:rPr>
          <w:i/>
        </w:rPr>
        <w:t>ge</w:t>
      </w:r>
      <w:proofErr w:type="spellEnd"/>
      <w:r w:rsidRPr="009763AD">
        <w:rPr>
          <w:i/>
        </w:rPr>
        <w:t xml:space="preserve"> has well documented experience, information and evidence, and model responses that make influencing others so much easier, as we are going with practical solutions and no longer just the rhetoric.’</w:t>
      </w:r>
      <w:r>
        <w:rPr>
          <w:i/>
        </w:rPr>
        <w:t xml:space="preserve"> (HAI Implementer) </w:t>
      </w:r>
    </w:p>
    <w:p w:rsidR="00145431" w:rsidRDefault="00145431" w:rsidP="00145431">
      <w:pPr>
        <w:pStyle w:val="NoSpacing"/>
        <w:ind w:left="720"/>
        <w:rPr>
          <w:i/>
        </w:rPr>
      </w:pPr>
    </w:p>
    <w:p w:rsidR="00614666" w:rsidRDefault="00614666" w:rsidP="00145431">
      <w:pPr>
        <w:pStyle w:val="NoSpacing"/>
        <w:ind w:left="720"/>
        <w:rPr>
          <w:i/>
        </w:rPr>
      </w:pPr>
      <w:r w:rsidRPr="00C41CFC">
        <w:rPr>
          <w:i/>
        </w:rPr>
        <w:t>‘It is no use if partners understand</w:t>
      </w:r>
      <w:r w:rsidR="00E83060">
        <w:rPr>
          <w:i/>
        </w:rPr>
        <w:t xml:space="preserve"> [</w:t>
      </w:r>
      <w:r w:rsidR="00331269">
        <w:rPr>
          <w:i/>
        </w:rPr>
        <w:t xml:space="preserve">i.e. </w:t>
      </w:r>
      <w:r w:rsidR="00E83060">
        <w:rPr>
          <w:i/>
        </w:rPr>
        <w:t>the need to include older people</w:t>
      </w:r>
      <w:r w:rsidR="00331269">
        <w:rPr>
          <w:i/>
        </w:rPr>
        <w:t>,</w:t>
      </w:r>
      <w:r w:rsidR="00E83060">
        <w:rPr>
          <w:i/>
        </w:rPr>
        <w:t xml:space="preserve"> as a result of training]</w:t>
      </w:r>
      <w:r w:rsidRPr="00C41CFC">
        <w:rPr>
          <w:i/>
        </w:rPr>
        <w:t>, but there is no funding</w:t>
      </w:r>
      <w:r w:rsidR="00331269">
        <w:rPr>
          <w:i/>
        </w:rPr>
        <w:t xml:space="preserve"> [i.e. to address inclusion from donors]</w:t>
      </w:r>
      <w:r w:rsidRPr="00C41CFC">
        <w:rPr>
          <w:i/>
        </w:rPr>
        <w:t>’ (</w:t>
      </w:r>
      <w:r w:rsidR="001376C0">
        <w:rPr>
          <w:i/>
        </w:rPr>
        <w:t xml:space="preserve">Pakistan </w:t>
      </w:r>
      <w:r w:rsidRPr="00C41CFC">
        <w:rPr>
          <w:i/>
        </w:rPr>
        <w:t xml:space="preserve">Participant) </w:t>
      </w:r>
    </w:p>
    <w:p w:rsidR="00614666" w:rsidRPr="00C87E56" w:rsidRDefault="00614666" w:rsidP="00C87E56">
      <w:pPr>
        <w:pStyle w:val="NoSpacing"/>
      </w:pPr>
    </w:p>
    <w:p w:rsidR="00FD3DC0" w:rsidRPr="00FC5942" w:rsidRDefault="00FC5942" w:rsidP="00FC5942">
      <w:pPr>
        <w:pStyle w:val="NoSpacing"/>
        <w:rPr>
          <w:b/>
        </w:rPr>
      </w:pPr>
      <w:r>
        <w:rPr>
          <w:b/>
        </w:rPr>
        <w:t>1.</w:t>
      </w:r>
      <w:r w:rsidR="00FD3DC0" w:rsidRPr="00FC5942">
        <w:rPr>
          <w:b/>
        </w:rPr>
        <w:t xml:space="preserve">2 Effectiveness </w:t>
      </w:r>
    </w:p>
    <w:p w:rsidR="003A098D" w:rsidRDefault="008D3D99" w:rsidP="003A098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HAI’s provision of expertise </w:t>
      </w:r>
      <w:r w:rsidR="00FF01A7">
        <w:rPr>
          <w:rFonts w:ascii="Calibri" w:eastAsia="Times New Roman" w:hAnsi="Calibri" w:cs="Times New Roman"/>
          <w:color w:val="000000"/>
          <w:lang w:eastAsia="en-GB"/>
        </w:rPr>
        <w:t xml:space="preserve">was effective at delivering </w:t>
      </w:r>
      <w:r w:rsidR="00D91574">
        <w:rPr>
          <w:rFonts w:ascii="Calibri" w:eastAsia="Times New Roman" w:hAnsi="Calibri" w:cs="Times New Roman"/>
          <w:color w:val="000000"/>
          <w:lang w:eastAsia="en-GB"/>
        </w:rPr>
        <w:t>a range of</w:t>
      </w:r>
      <w:r w:rsidR="00FF01A7">
        <w:rPr>
          <w:rFonts w:ascii="Calibri" w:eastAsia="Times New Roman" w:hAnsi="Calibri" w:cs="Times New Roman"/>
          <w:color w:val="000000"/>
          <w:lang w:eastAsia="en-GB"/>
        </w:rPr>
        <w:t xml:space="preserve"> outputs</w:t>
      </w:r>
      <w:r w:rsidR="00D91574">
        <w:rPr>
          <w:rFonts w:ascii="Calibri" w:eastAsia="Times New Roman" w:hAnsi="Calibri" w:cs="Times New Roman"/>
          <w:color w:val="000000"/>
          <w:lang w:eastAsia="en-GB"/>
        </w:rPr>
        <w:t xml:space="preserve"> in training, technical guidance, policy publications, and direct engagements</w:t>
      </w:r>
      <w:r w:rsidR="00853345" w:rsidRPr="00853345">
        <w:rPr>
          <w:rFonts w:ascii="Calibri" w:eastAsia="Times New Roman" w:hAnsi="Calibri" w:cs="Times New Roman"/>
          <w:color w:val="000000"/>
          <w:lang w:eastAsia="en-GB"/>
        </w:rPr>
        <w:t xml:space="preserve"> </w:t>
      </w:r>
      <w:r w:rsidR="00853345" w:rsidRPr="006922A6">
        <w:rPr>
          <w:rFonts w:ascii="Calibri" w:eastAsia="Times New Roman" w:hAnsi="Calibri" w:cs="Times New Roman"/>
          <w:color w:val="000000"/>
          <w:lang w:eastAsia="en-GB"/>
        </w:rPr>
        <w:t>to several humanitarian clusters</w:t>
      </w:r>
      <w:r w:rsidR="00853345">
        <w:rPr>
          <w:rFonts w:ascii="Calibri" w:eastAsia="Times New Roman" w:hAnsi="Calibri" w:cs="Times New Roman"/>
          <w:color w:val="000000"/>
          <w:lang w:eastAsia="en-GB"/>
        </w:rPr>
        <w:t xml:space="preserve">, multiple </w:t>
      </w:r>
      <w:r w:rsidR="00853345" w:rsidRPr="006922A6">
        <w:rPr>
          <w:rFonts w:ascii="Calibri" w:eastAsia="Times New Roman" w:hAnsi="Calibri" w:cs="Times New Roman"/>
          <w:color w:val="000000"/>
          <w:lang w:eastAsia="en-GB"/>
        </w:rPr>
        <w:t>partners</w:t>
      </w:r>
      <w:r w:rsidR="00853345">
        <w:rPr>
          <w:rFonts w:ascii="Calibri" w:eastAsia="Times New Roman" w:hAnsi="Calibri" w:cs="Times New Roman"/>
          <w:color w:val="000000"/>
          <w:lang w:eastAsia="en-GB"/>
        </w:rPr>
        <w:t>, and wider members of the humanitarian community</w:t>
      </w:r>
      <w:r w:rsidR="00FF01A7">
        <w:rPr>
          <w:rFonts w:ascii="Calibri" w:eastAsia="Times New Roman" w:hAnsi="Calibri" w:cs="Times New Roman"/>
          <w:color w:val="000000"/>
          <w:lang w:eastAsia="en-GB"/>
        </w:rPr>
        <w:t xml:space="preserve">. Its </w:t>
      </w:r>
      <w:r w:rsidR="00D91574">
        <w:rPr>
          <w:rFonts w:ascii="Calibri" w:eastAsia="Times New Roman" w:hAnsi="Calibri" w:cs="Times New Roman"/>
          <w:color w:val="000000"/>
          <w:lang w:eastAsia="en-GB"/>
        </w:rPr>
        <w:t xml:space="preserve">overall </w:t>
      </w:r>
      <w:r w:rsidR="00FF01A7">
        <w:rPr>
          <w:rFonts w:ascii="Calibri" w:eastAsia="Times New Roman" w:hAnsi="Calibri" w:cs="Times New Roman"/>
          <w:color w:val="000000"/>
          <w:lang w:eastAsia="en-GB"/>
        </w:rPr>
        <w:t>effectiveness</w:t>
      </w:r>
      <w:r w:rsidR="00D91574">
        <w:rPr>
          <w:rFonts w:ascii="Calibri" w:eastAsia="Times New Roman" w:hAnsi="Calibri" w:cs="Times New Roman"/>
          <w:color w:val="000000"/>
          <w:lang w:eastAsia="en-GB"/>
        </w:rPr>
        <w:t>, however,</w:t>
      </w:r>
      <w:r w:rsidR="00FF01A7">
        <w:rPr>
          <w:rFonts w:ascii="Calibri" w:eastAsia="Times New Roman" w:hAnsi="Calibri" w:cs="Times New Roman"/>
          <w:color w:val="000000"/>
          <w:lang w:eastAsia="en-GB"/>
        </w:rPr>
        <w:t xml:space="preserve"> depend</w:t>
      </w:r>
      <w:r w:rsidR="00786AB8">
        <w:rPr>
          <w:rFonts w:ascii="Calibri" w:eastAsia="Times New Roman" w:hAnsi="Calibri" w:cs="Times New Roman"/>
          <w:color w:val="000000"/>
          <w:lang w:eastAsia="en-GB"/>
        </w:rPr>
        <w:t>ed</w:t>
      </w:r>
      <w:r w:rsidR="00FF01A7">
        <w:rPr>
          <w:rFonts w:ascii="Calibri" w:eastAsia="Times New Roman" w:hAnsi="Calibri" w:cs="Times New Roman"/>
          <w:color w:val="000000"/>
          <w:lang w:eastAsia="en-GB"/>
        </w:rPr>
        <w:t xml:space="preserve"> on </w:t>
      </w:r>
      <w:r w:rsidR="00AE0405" w:rsidRPr="006922A6">
        <w:rPr>
          <w:rFonts w:ascii="Calibri" w:eastAsia="Times New Roman" w:hAnsi="Calibri" w:cs="Times New Roman"/>
          <w:color w:val="000000"/>
          <w:lang w:eastAsia="en-GB"/>
        </w:rPr>
        <w:t xml:space="preserve">combined activities </w:t>
      </w:r>
      <w:r w:rsidR="00AE0405">
        <w:rPr>
          <w:rFonts w:ascii="Calibri" w:eastAsia="Times New Roman" w:hAnsi="Calibri" w:cs="Times New Roman"/>
          <w:color w:val="000000"/>
          <w:lang w:eastAsia="en-GB"/>
        </w:rPr>
        <w:t>(</w:t>
      </w:r>
      <w:r w:rsidR="00AE0405" w:rsidRPr="006922A6">
        <w:t>training, publications, and deployments</w:t>
      </w:r>
      <w:r w:rsidR="00AE0405">
        <w:t>)</w:t>
      </w:r>
      <w:r w:rsidR="00786AB8">
        <w:rPr>
          <w:rFonts w:ascii="Calibri" w:eastAsia="Times New Roman" w:hAnsi="Calibri" w:cs="Times New Roman"/>
          <w:color w:val="000000"/>
          <w:lang w:eastAsia="en-GB"/>
        </w:rPr>
        <w:t xml:space="preserve">. It might also be enhanced through </w:t>
      </w:r>
      <w:r w:rsidR="00FF01A7">
        <w:rPr>
          <w:rFonts w:ascii="Calibri" w:eastAsia="Times New Roman" w:hAnsi="Calibri" w:cs="Times New Roman"/>
          <w:color w:val="000000"/>
          <w:lang w:eastAsia="en-GB"/>
        </w:rPr>
        <w:t xml:space="preserve">better </w:t>
      </w:r>
      <w:r w:rsidR="003A098D" w:rsidRPr="003A098D">
        <w:rPr>
          <w:rFonts w:ascii="Calibri" w:eastAsia="Times New Roman" w:hAnsi="Calibri" w:cs="Times New Roman"/>
          <w:color w:val="000000"/>
          <w:lang w:eastAsia="en-GB"/>
        </w:rPr>
        <w:t>defin</w:t>
      </w:r>
      <w:r w:rsidR="001F0F4B">
        <w:rPr>
          <w:rFonts w:ascii="Calibri" w:eastAsia="Times New Roman" w:hAnsi="Calibri" w:cs="Times New Roman"/>
          <w:color w:val="000000"/>
          <w:lang w:eastAsia="en-GB"/>
        </w:rPr>
        <w:t>ing</w:t>
      </w:r>
      <w:r w:rsidR="003A098D" w:rsidRPr="003A098D">
        <w:rPr>
          <w:rFonts w:ascii="Calibri" w:eastAsia="Times New Roman" w:hAnsi="Calibri" w:cs="Times New Roman"/>
          <w:color w:val="000000"/>
          <w:lang w:eastAsia="en-GB"/>
        </w:rPr>
        <w:t xml:space="preserve"> targets, </w:t>
      </w:r>
      <w:r w:rsidR="001F0F4B">
        <w:rPr>
          <w:rFonts w:ascii="Calibri" w:eastAsia="Times New Roman" w:hAnsi="Calibri" w:cs="Times New Roman"/>
          <w:color w:val="000000"/>
          <w:lang w:eastAsia="en-GB"/>
        </w:rPr>
        <w:t xml:space="preserve">and </w:t>
      </w:r>
      <w:r w:rsidR="008822A7">
        <w:rPr>
          <w:rFonts w:ascii="Calibri" w:eastAsia="Times New Roman" w:hAnsi="Calibri" w:cs="Times New Roman"/>
          <w:color w:val="000000"/>
          <w:lang w:eastAsia="en-GB"/>
        </w:rPr>
        <w:t xml:space="preserve">understanding </w:t>
      </w:r>
      <w:r w:rsidR="003A098D" w:rsidRPr="003A098D">
        <w:rPr>
          <w:rFonts w:ascii="Calibri" w:eastAsia="Times New Roman" w:hAnsi="Calibri" w:cs="Times New Roman"/>
          <w:color w:val="000000"/>
          <w:lang w:eastAsia="en-GB"/>
        </w:rPr>
        <w:t xml:space="preserve">its </w:t>
      </w:r>
      <w:r w:rsidR="008822A7">
        <w:rPr>
          <w:rFonts w:ascii="Calibri" w:eastAsia="Times New Roman" w:hAnsi="Calibri" w:cs="Times New Roman"/>
          <w:color w:val="000000"/>
          <w:lang w:eastAsia="en-GB"/>
        </w:rPr>
        <w:t xml:space="preserve">relative </w:t>
      </w:r>
      <w:r w:rsidR="003A098D" w:rsidRPr="003A098D">
        <w:rPr>
          <w:rFonts w:ascii="Calibri" w:eastAsia="Times New Roman" w:hAnsi="Calibri" w:cs="Times New Roman"/>
          <w:color w:val="000000"/>
          <w:lang w:eastAsia="en-GB"/>
        </w:rPr>
        <w:t>added value in providing expertise.</w:t>
      </w:r>
      <w:r w:rsidR="003A098D">
        <w:rPr>
          <w:rFonts w:ascii="Calibri" w:eastAsia="Times New Roman" w:hAnsi="Calibri" w:cs="Times New Roman"/>
          <w:color w:val="000000"/>
          <w:lang w:eastAsia="en-GB"/>
        </w:rPr>
        <w:t xml:space="preserve"> </w:t>
      </w:r>
    </w:p>
    <w:p w:rsidR="00AE0405" w:rsidRDefault="00AE0405" w:rsidP="00565FF5">
      <w:pPr>
        <w:spacing w:after="0" w:line="240" w:lineRule="auto"/>
      </w:pPr>
    </w:p>
    <w:p w:rsidR="00115850" w:rsidRDefault="001F0F4B" w:rsidP="00565FF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In the project, </w:t>
      </w:r>
      <w:r w:rsidR="00AE0405">
        <w:rPr>
          <w:rFonts w:ascii="Calibri" w:eastAsia="Times New Roman" w:hAnsi="Calibri" w:cs="Times New Roman"/>
          <w:color w:val="000000"/>
          <w:lang w:eastAsia="en-GB"/>
        </w:rPr>
        <w:t>HAI</w:t>
      </w:r>
      <w:r>
        <w:rPr>
          <w:rFonts w:ascii="Calibri" w:eastAsia="Times New Roman" w:hAnsi="Calibri" w:cs="Times New Roman"/>
          <w:color w:val="000000"/>
          <w:lang w:eastAsia="en-GB"/>
        </w:rPr>
        <w:t xml:space="preserve"> developed and piloted </w:t>
      </w:r>
      <w:r w:rsidR="00AE0405">
        <w:rPr>
          <w:rFonts w:ascii="Calibri" w:eastAsia="Times New Roman" w:hAnsi="Calibri" w:cs="Times New Roman"/>
          <w:color w:val="000000"/>
          <w:lang w:eastAsia="en-GB"/>
        </w:rPr>
        <w:t>expert activities and tools,</w:t>
      </w:r>
      <w:r w:rsidR="006922A6">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which are now </w:t>
      </w:r>
      <w:r w:rsidR="00AE0405">
        <w:rPr>
          <w:rFonts w:ascii="Calibri" w:eastAsia="Times New Roman" w:hAnsi="Calibri" w:cs="Times New Roman"/>
          <w:color w:val="000000"/>
          <w:lang w:eastAsia="en-GB"/>
        </w:rPr>
        <w:t xml:space="preserve">ready to </w:t>
      </w:r>
      <w:r w:rsidR="006922A6">
        <w:rPr>
          <w:rFonts w:ascii="Calibri" w:eastAsia="Times New Roman" w:hAnsi="Calibri" w:cs="Times New Roman"/>
          <w:color w:val="000000"/>
          <w:lang w:eastAsia="en-GB"/>
        </w:rPr>
        <w:t xml:space="preserve">be implemented more widely. </w:t>
      </w:r>
      <w:r w:rsidR="00341F4B">
        <w:rPr>
          <w:rFonts w:ascii="Calibri" w:eastAsia="Times New Roman" w:hAnsi="Calibri" w:cs="Times New Roman"/>
          <w:color w:val="000000"/>
          <w:lang w:eastAsia="en-GB"/>
        </w:rPr>
        <w:t xml:space="preserve">Looking forward, </w:t>
      </w:r>
      <w:r w:rsidR="006922A6" w:rsidRPr="00FC5942">
        <w:t xml:space="preserve">HAI </w:t>
      </w:r>
      <w:r w:rsidR="00341F4B">
        <w:t>plans to</w:t>
      </w:r>
      <w:r w:rsidR="006922A6" w:rsidRPr="00FC5942">
        <w:t xml:space="preserve"> invest core funds in continued training and guideline</w:t>
      </w:r>
      <w:r w:rsidR="006922A6">
        <w:t xml:space="preserve"> dissemination</w:t>
      </w:r>
      <w:r w:rsidR="006922A6" w:rsidRPr="00FC5942">
        <w:t xml:space="preserve">, and </w:t>
      </w:r>
      <w:r w:rsidR="00341F4B">
        <w:t>to seek</w:t>
      </w:r>
      <w:r w:rsidR="006922A6">
        <w:t xml:space="preserve"> funding for </w:t>
      </w:r>
      <w:r w:rsidR="006922A6" w:rsidRPr="00FC5942">
        <w:t xml:space="preserve">a </w:t>
      </w:r>
      <w:r w:rsidR="006922A6">
        <w:t xml:space="preserve">standby </w:t>
      </w:r>
      <w:r w:rsidR="006922A6" w:rsidRPr="00FC5942">
        <w:t>roster of experts.</w:t>
      </w:r>
      <w:r w:rsidR="006922A6">
        <w:t xml:space="preserve"> </w:t>
      </w:r>
      <w:r w:rsidR="00AE0405">
        <w:t>The s</w:t>
      </w:r>
      <w:r w:rsidR="006922A6">
        <w:rPr>
          <w:rFonts w:ascii="Calibri" w:eastAsia="Times New Roman" w:hAnsi="Calibri" w:cs="Times New Roman"/>
          <w:color w:val="000000"/>
          <w:lang w:eastAsia="en-GB"/>
        </w:rPr>
        <w:t xml:space="preserve">ustainability </w:t>
      </w:r>
      <w:r w:rsidR="00AE0405">
        <w:rPr>
          <w:rFonts w:ascii="Calibri" w:eastAsia="Times New Roman" w:hAnsi="Calibri" w:cs="Times New Roman"/>
          <w:color w:val="000000"/>
          <w:lang w:eastAsia="en-GB"/>
        </w:rPr>
        <w:t xml:space="preserve">of these activities </w:t>
      </w:r>
      <w:r w:rsidR="006922A6">
        <w:rPr>
          <w:rFonts w:ascii="Calibri" w:eastAsia="Times New Roman" w:hAnsi="Calibri" w:cs="Times New Roman"/>
          <w:color w:val="000000"/>
          <w:lang w:eastAsia="en-GB"/>
        </w:rPr>
        <w:t>will depend on systematic follow up, good practice</w:t>
      </w:r>
      <w:r w:rsidR="00AE0405">
        <w:rPr>
          <w:rFonts w:ascii="Calibri" w:eastAsia="Times New Roman" w:hAnsi="Calibri" w:cs="Times New Roman"/>
          <w:color w:val="000000"/>
          <w:lang w:eastAsia="en-GB"/>
        </w:rPr>
        <w:t xml:space="preserve"> by HAI </w:t>
      </w:r>
      <w:r w:rsidR="000F6D22">
        <w:rPr>
          <w:rFonts w:ascii="Calibri" w:eastAsia="Times New Roman" w:hAnsi="Calibri" w:cs="Times New Roman"/>
          <w:color w:val="000000"/>
          <w:lang w:eastAsia="en-GB"/>
        </w:rPr>
        <w:t>(</w:t>
      </w:r>
      <w:r w:rsidR="00AE0405">
        <w:rPr>
          <w:rFonts w:ascii="Calibri" w:eastAsia="Times New Roman" w:hAnsi="Calibri" w:cs="Times New Roman"/>
          <w:color w:val="000000"/>
          <w:lang w:eastAsia="en-GB"/>
        </w:rPr>
        <w:t>country teams</w:t>
      </w:r>
      <w:r w:rsidR="000F6D22">
        <w:rPr>
          <w:rFonts w:ascii="Calibri" w:eastAsia="Times New Roman" w:hAnsi="Calibri" w:cs="Times New Roman"/>
          <w:color w:val="000000"/>
          <w:lang w:eastAsia="en-GB"/>
        </w:rPr>
        <w:t>)</w:t>
      </w:r>
      <w:r w:rsidR="006922A6">
        <w:rPr>
          <w:rFonts w:ascii="Calibri" w:eastAsia="Times New Roman" w:hAnsi="Calibri" w:cs="Times New Roman"/>
          <w:color w:val="000000"/>
          <w:lang w:eastAsia="en-GB"/>
        </w:rPr>
        <w:t xml:space="preserve">, and </w:t>
      </w:r>
      <w:r w:rsidR="005831DB">
        <w:rPr>
          <w:rFonts w:ascii="Calibri" w:eastAsia="Times New Roman" w:hAnsi="Calibri" w:cs="Times New Roman"/>
          <w:color w:val="000000"/>
          <w:lang w:eastAsia="en-GB"/>
        </w:rPr>
        <w:t xml:space="preserve">continued </w:t>
      </w:r>
      <w:r w:rsidR="006922A6">
        <w:rPr>
          <w:rFonts w:ascii="Calibri" w:eastAsia="Times New Roman" w:hAnsi="Calibri" w:cs="Times New Roman"/>
          <w:color w:val="000000"/>
          <w:lang w:eastAsia="en-GB"/>
        </w:rPr>
        <w:t xml:space="preserve">donor support. </w:t>
      </w:r>
    </w:p>
    <w:p w:rsidR="00AE0405" w:rsidRDefault="00AE0405" w:rsidP="00565FF5">
      <w:pPr>
        <w:spacing w:after="0" w:line="240" w:lineRule="auto"/>
        <w:rPr>
          <w:rFonts w:ascii="Calibri" w:eastAsia="Times New Roman" w:hAnsi="Calibri" w:cs="Times New Roman"/>
          <w:color w:val="000000"/>
          <w:lang w:eastAsia="en-GB"/>
        </w:rPr>
      </w:pPr>
    </w:p>
    <w:p w:rsidR="00DB010D" w:rsidRDefault="00DB010D" w:rsidP="00565FF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Training </w:t>
      </w:r>
      <w:r w:rsidR="00697B59">
        <w:rPr>
          <w:rFonts w:ascii="Calibri" w:eastAsia="Times New Roman" w:hAnsi="Calibri" w:cs="Times New Roman"/>
          <w:color w:val="000000"/>
          <w:lang w:eastAsia="en-GB"/>
        </w:rPr>
        <w:t xml:space="preserve">was effective at building awareness about </w:t>
      </w:r>
      <w:r w:rsidR="007527F6">
        <w:rPr>
          <w:rFonts w:ascii="Calibri" w:eastAsia="Times New Roman" w:hAnsi="Calibri" w:cs="Times New Roman"/>
          <w:color w:val="000000"/>
          <w:lang w:eastAsia="en-GB"/>
        </w:rPr>
        <w:t xml:space="preserve">the </w:t>
      </w:r>
      <w:r w:rsidR="00697B59">
        <w:rPr>
          <w:rFonts w:ascii="Calibri" w:eastAsia="Times New Roman" w:hAnsi="Calibri" w:cs="Times New Roman"/>
          <w:color w:val="000000"/>
          <w:lang w:eastAsia="en-GB"/>
        </w:rPr>
        <w:t>incl</w:t>
      </w:r>
      <w:r w:rsidR="00FA783C">
        <w:rPr>
          <w:rFonts w:ascii="Calibri" w:eastAsia="Times New Roman" w:hAnsi="Calibri" w:cs="Times New Roman"/>
          <w:color w:val="000000"/>
          <w:lang w:eastAsia="en-GB"/>
        </w:rPr>
        <w:t xml:space="preserve">usion of older people among </w:t>
      </w:r>
      <w:r w:rsidR="001F7450">
        <w:rPr>
          <w:rFonts w:ascii="Calibri" w:eastAsia="Times New Roman" w:hAnsi="Calibri" w:cs="Times New Roman"/>
          <w:color w:val="000000"/>
          <w:lang w:eastAsia="en-GB"/>
        </w:rPr>
        <w:t>486</w:t>
      </w:r>
      <w:r w:rsidR="007527F6">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field staff and policy makers</w:t>
      </w:r>
      <w:r w:rsidR="00837A1D">
        <w:rPr>
          <w:rFonts w:ascii="Calibri" w:eastAsia="Times New Roman" w:hAnsi="Calibri" w:cs="Times New Roman"/>
          <w:color w:val="000000"/>
          <w:lang w:eastAsia="en-GB"/>
        </w:rPr>
        <w:t>.</w:t>
      </w:r>
      <w:r w:rsidR="009856D3">
        <w:rPr>
          <w:rStyle w:val="FootnoteReference"/>
          <w:rFonts w:ascii="Calibri" w:eastAsia="Times New Roman" w:hAnsi="Calibri" w:cs="Times New Roman"/>
          <w:color w:val="000000"/>
          <w:lang w:eastAsia="en-GB"/>
        </w:rPr>
        <w:footnoteReference w:id="20"/>
      </w:r>
      <w:r w:rsidR="00837A1D">
        <w:rPr>
          <w:rFonts w:ascii="Calibri" w:eastAsia="Times New Roman" w:hAnsi="Calibri" w:cs="Times New Roman"/>
          <w:color w:val="000000"/>
          <w:lang w:eastAsia="en-GB"/>
        </w:rPr>
        <w:t xml:space="preserve"> Its effectiveness is attributed to t</w:t>
      </w:r>
      <w:r>
        <w:rPr>
          <w:rFonts w:ascii="Calibri" w:eastAsia="Times New Roman" w:hAnsi="Calibri" w:cs="Times New Roman"/>
          <w:color w:val="000000"/>
          <w:lang w:eastAsia="en-GB"/>
        </w:rPr>
        <w:t>he trainer’s competencies</w:t>
      </w:r>
      <w:r w:rsidR="00FC64D7">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the quality of the </w:t>
      </w:r>
      <w:r w:rsidR="00FC64D7">
        <w:rPr>
          <w:rFonts w:ascii="Calibri" w:eastAsia="Times New Roman" w:hAnsi="Calibri" w:cs="Times New Roman"/>
          <w:color w:val="000000"/>
          <w:lang w:eastAsia="en-GB"/>
        </w:rPr>
        <w:t xml:space="preserve">training </w:t>
      </w:r>
      <w:r>
        <w:rPr>
          <w:rFonts w:ascii="Calibri" w:eastAsia="Times New Roman" w:hAnsi="Calibri" w:cs="Times New Roman"/>
          <w:color w:val="000000"/>
          <w:lang w:eastAsia="en-GB"/>
        </w:rPr>
        <w:t>package, a</w:t>
      </w:r>
      <w:r w:rsidR="00FC64D7">
        <w:rPr>
          <w:rFonts w:ascii="Calibri" w:eastAsia="Times New Roman" w:hAnsi="Calibri" w:cs="Times New Roman"/>
          <w:color w:val="000000"/>
          <w:lang w:eastAsia="en-GB"/>
        </w:rPr>
        <w:t xml:space="preserve">nd the willingness of partners. </w:t>
      </w:r>
      <w:r w:rsidR="007527F6">
        <w:rPr>
          <w:rFonts w:ascii="Calibri" w:eastAsia="Times New Roman" w:hAnsi="Calibri" w:cs="Times New Roman"/>
          <w:color w:val="000000"/>
          <w:lang w:eastAsia="en-GB"/>
        </w:rPr>
        <w:t>It might</w:t>
      </w:r>
      <w:r w:rsidR="00697B59">
        <w:rPr>
          <w:rFonts w:ascii="Calibri" w:eastAsia="Times New Roman" w:hAnsi="Calibri" w:cs="Times New Roman"/>
          <w:color w:val="000000"/>
          <w:lang w:eastAsia="en-GB"/>
        </w:rPr>
        <w:t xml:space="preserve"> be </w:t>
      </w:r>
      <w:r w:rsidR="00837A1D">
        <w:rPr>
          <w:rFonts w:ascii="Calibri" w:eastAsia="Times New Roman" w:hAnsi="Calibri" w:cs="Times New Roman"/>
          <w:color w:val="000000"/>
          <w:lang w:eastAsia="en-GB"/>
        </w:rPr>
        <w:t>further improved</w:t>
      </w:r>
      <w:r w:rsidR="007527F6">
        <w:rPr>
          <w:rFonts w:ascii="Calibri" w:eastAsia="Times New Roman" w:hAnsi="Calibri" w:cs="Times New Roman"/>
          <w:color w:val="000000"/>
          <w:lang w:eastAsia="en-GB"/>
        </w:rPr>
        <w:t xml:space="preserve"> </w:t>
      </w:r>
      <w:r w:rsidR="00697B59">
        <w:rPr>
          <w:rFonts w:ascii="Calibri" w:eastAsia="Times New Roman" w:hAnsi="Calibri" w:cs="Times New Roman"/>
          <w:color w:val="000000"/>
          <w:lang w:eastAsia="en-GB"/>
        </w:rPr>
        <w:t xml:space="preserve">with inclusion of </w:t>
      </w:r>
      <w:r w:rsidR="007527F6">
        <w:rPr>
          <w:rFonts w:ascii="Calibri" w:eastAsia="Times New Roman" w:hAnsi="Calibri" w:cs="Times New Roman"/>
          <w:color w:val="000000"/>
          <w:lang w:eastAsia="en-GB"/>
        </w:rPr>
        <w:t xml:space="preserve">gender and disability aspects, </w:t>
      </w:r>
      <w:r w:rsidR="00697B59">
        <w:rPr>
          <w:rFonts w:ascii="Calibri" w:eastAsia="Times New Roman" w:hAnsi="Calibri" w:cs="Times New Roman"/>
          <w:color w:val="000000"/>
          <w:lang w:eastAsia="en-GB"/>
        </w:rPr>
        <w:t>providing examples of good practice</w:t>
      </w:r>
      <w:r w:rsidR="007527F6">
        <w:rPr>
          <w:rFonts w:ascii="Calibri" w:eastAsia="Times New Roman" w:hAnsi="Calibri" w:cs="Times New Roman"/>
          <w:color w:val="000000"/>
          <w:lang w:eastAsia="en-GB"/>
        </w:rPr>
        <w:t>, and more adequate resources</w:t>
      </w:r>
      <w:r w:rsidR="00697B59">
        <w:rPr>
          <w:rFonts w:ascii="Calibri" w:eastAsia="Times New Roman" w:hAnsi="Calibri" w:cs="Times New Roman"/>
          <w:color w:val="000000"/>
          <w:lang w:eastAsia="en-GB"/>
        </w:rPr>
        <w:t xml:space="preserve">. </w:t>
      </w:r>
      <w:r w:rsidR="007527F6">
        <w:rPr>
          <w:rFonts w:ascii="Calibri" w:eastAsia="Times New Roman" w:hAnsi="Calibri" w:cs="Times New Roman"/>
          <w:color w:val="000000"/>
          <w:lang w:eastAsia="en-GB"/>
        </w:rPr>
        <w:t xml:space="preserve">Now </w:t>
      </w:r>
      <w:r w:rsidR="00697B59">
        <w:rPr>
          <w:rFonts w:ascii="Calibri" w:eastAsia="Times New Roman" w:hAnsi="Calibri" w:cs="Times New Roman"/>
          <w:color w:val="000000"/>
          <w:lang w:eastAsia="en-GB"/>
        </w:rPr>
        <w:t xml:space="preserve">approaches </w:t>
      </w:r>
      <w:r w:rsidR="007527F6">
        <w:rPr>
          <w:rFonts w:ascii="Calibri" w:eastAsia="Times New Roman" w:hAnsi="Calibri" w:cs="Times New Roman"/>
          <w:color w:val="000000"/>
          <w:lang w:eastAsia="en-GB"/>
        </w:rPr>
        <w:t xml:space="preserve">are needed </w:t>
      </w:r>
      <w:r w:rsidR="00697B59">
        <w:rPr>
          <w:rFonts w:ascii="Calibri" w:eastAsia="Times New Roman" w:hAnsi="Calibri" w:cs="Times New Roman"/>
          <w:color w:val="000000"/>
          <w:lang w:eastAsia="en-GB"/>
        </w:rPr>
        <w:t xml:space="preserve">that reach the larger humanitarian community: training of trainers, internal training for organizations, external training mechanisms (such as SPHERE), customizations, </w:t>
      </w:r>
      <w:r w:rsidR="007527F6">
        <w:rPr>
          <w:rFonts w:ascii="Calibri" w:eastAsia="Times New Roman" w:hAnsi="Calibri" w:cs="Times New Roman"/>
          <w:color w:val="000000"/>
          <w:lang w:eastAsia="en-GB"/>
        </w:rPr>
        <w:t xml:space="preserve">online provision, </w:t>
      </w:r>
      <w:r w:rsidR="00697B59">
        <w:rPr>
          <w:rFonts w:ascii="Calibri" w:eastAsia="Times New Roman" w:hAnsi="Calibri" w:cs="Times New Roman"/>
          <w:color w:val="000000"/>
          <w:lang w:eastAsia="en-GB"/>
        </w:rPr>
        <w:t xml:space="preserve">and creating a community of practice.  </w:t>
      </w:r>
    </w:p>
    <w:p w:rsidR="00DB010D" w:rsidRDefault="00DB010D" w:rsidP="00565FF5">
      <w:pPr>
        <w:spacing w:after="0" w:line="240" w:lineRule="auto"/>
        <w:rPr>
          <w:rFonts w:ascii="Calibri" w:eastAsia="Times New Roman" w:hAnsi="Calibri" w:cs="Times New Roman"/>
          <w:color w:val="000000"/>
          <w:lang w:eastAsia="en-GB"/>
        </w:rPr>
      </w:pPr>
    </w:p>
    <w:p w:rsidR="00EA167C" w:rsidRDefault="00EA167C" w:rsidP="00DB010D">
      <w:pPr>
        <w:pStyle w:val="NoSpacing"/>
      </w:pPr>
      <w:r>
        <w:t>HAI effectively produced technical guidelines on health, livelihoods, and needs assessments. Published in December, the</w:t>
      </w:r>
      <w:r w:rsidR="009D49DE">
        <w:t xml:space="preserve">se guidelines </w:t>
      </w:r>
      <w:r>
        <w:t>have been disseminated among stakeholders and downloaded more than 650 times. The</w:t>
      </w:r>
      <w:r w:rsidR="009D49DE">
        <w:t xml:space="preserve">y </w:t>
      </w:r>
      <w:r>
        <w:t>will influence practices over time</w:t>
      </w:r>
      <w:r w:rsidR="009D49DE">
        <w:t xml:space="preserve">, particularly if they are </w:t>
      </w:r>
      <w:r>
        <w:t>embedded in</w:t>
      </w:r>
      <w:r w:rsidR="009D49DE">
        <w:t>to</w:t>
      </w:r>
      <w:r>
        <w:t xml:space="preserve"> flagship cluster guidelines and tools</w:t>
      </w:r>
      <w:r w:rsidR="00D431AE">
        <w:t>, and/or those of large agencies</w:t>
      </w:r>
      <w:r>
        <w:t>. They should now be systematically promoted</w:t>
      </w:r>
      <w:r w:rsidR="00D431AE">
        <w:t xml:space="preserve"> and</w:t>
      </w:r>
      <w:r>
        <w:t xml:space="preserve"> integrated into </w:t>
      </w:r>
      <w:r w:rsidR="004A57AF">
        <w:t xml:space="preserve">HAI </w:t>
      </w:r>
      <w:r>
        <w:t xml:space="preserve">training, and their </w:t>
      </w:r>
      <w:r w:rsidR="00D431AE">
        <w:t xml:space="preserve">format and </w:t>
      </w:r>
      <w:r>
        <w:t xml:space="preserve">utilization </w:t>
      </w:r>
      <w:r w:rsidR="00D431AE">
        <w:t xml:space="preserve">should be </w:t>
      </w:r>
      <w:r w:rsidR="004A57AF">
        <w:t xml:space="preserve">continually </w:t>
      </w:r>
      <w:r w:rsidR="00D431AE">
        <w:t xml:space="preserve">reviewed and </w:t>
      </w:r>
      <w:r>
        <w:t xml:space="preserve">monitored. </w:t>
      </w:r>
    </w:p>
    <w:p w:rsidR="00EA167C" w:rsidRDefault="00EA167C" w:rsidP="00DB010D">
      <w:pPr>
        <w:pStyle w:val="NoSpacing"/>
      </w:pPr>
    </w:p>
    <w:p w:rsidR="00EA167C" w:rsidRDefault="00EA167C" w:rsidP="00E32993">
      <w:pPr>
        <w:pStyle w:val="NoSpacing"/>
      </w:pPr>
      <w:r>
        <w:t>HAI produced an effective policy report with IDMC,</w:t>
      </w:r>
      <w:r w:rsidR="00B13451">
        <w:rPr>
          <w:rStyle w:val="FootnoteReference"/>
        </w:rPr>
        <w:footnoteReference w:id="21"/>
      </w:r>
      <w:r>
        <w:t xml:space="preserve"> and updated its </w:t>
      </w:r>
      <w:r w:rsidR="008C7515">
        <w:t>review</w:t>
      </w:r>
      <w:r>
        <w:t xml:space="preserve"> of humanitarian financing </w:t>
      </w:r>
      <w:r w:rsidR="008C7515">
        <w:t xml:space="preserve">and the inclusion of </w:t>
      </w:r>
      <w:r>
        <w:t>older people</w:t>
      </w:r>
      <w:r w:rsidR="008C7515">
        <w:t xml:space="preserve">, this time also including </w:t>
      </w:r>
      <w:r>
        <w:t>people with disabilities.</w:t>
      </w:r>
      <w:r w:rsidR="00E32993">
        <w:rPr>
          <w:rStyle w:val="FootnoteReference"/>
        </w:rPr>
        <w:footnoteReference w:id="22"/>
      </w:r>
      <w:r>
        <w:t xml:space="preserve"> </w:t>
      </w:r>
      <w:r w:rsidR="00D431AE">
        <w:t>The latter provided ra</w:t>
      </w:r>
      <w:r w:rsidR="00E32993">
        <w:t xml:space="preserve">re data on mainstreaming, and </w:t>
      </w:r>
      <w:r w:rsidR="00D431AE">
        <w:t>powerful figure</w:t>
      </w:r>
      <w:r w:rsidR="00E32993">
        <w:t>s. For example, ‘</w:t>
      </w:r>
      <w:r w:rsidR="00E32993" w:rsidRPr="00E32993">
        <w:t>I</w:t>
      </w:r>
      <w:r w:rsidR="00E32993">
        <w:t>n 2010 and 2011, 47 projects (</w:t>
      </w:r>
      <w:r w:rsidR="00E32993" w:rsidRPr="00E32993">
        <w:t>0.78 per cent</w:t>
      </w:r>
      <w:r w:rsidR="00E32993">
        <w:t xml:space="preserve">) </w:t>
      </w:r>
      <w:r w:rsidR="00E32993" w:rsidRPr="00E32993">
        <w:t>included at least one activity targeting older</w:t>
      </w:r>
      <w:r w:rsidR="00E32993">
        <w:t xml:space="preserve"> </w:t>
      </w:r>
      <w:r w:rsidR="00E32993" w:rsidRPr="00E32993">
        <w:t>peopl</w:t>
      </w:r>
      <w:r w:rsidR="00E32993">
        <w:t>e, and 18 of these were funded (</w:t>
      </w:r>
      <w:r w:rsidR="00E32993" w:rsidRPr="00E32993">
        <w:t>0.3 per</w:t>
      </w:r>
      <w:r w:rsidR="00E32993">
        <w:t xml:space="preserve"> </w:t>
      </w:r>
      <w:r w:rsidR="00E32993" w:rsidRPr="00E32993">
        <w:t>cent</w:t>
      </w:r>
      <w:r w:rsidR="00E32993">
        <w:t>)’</w:t>
      </w:r>
      <w:r w:rsidR="00E32993" w:rsidRPr="00E32993">
        <w:t>.</w:t>
      </w:r>
      <w:r w:rsidR="00D431AE">
        <w:t xml:space="preserve">  </w:t>
      </w:r>
    </w:p>
    <w:p w:rsidR="00EA167C" w:rsidRDefault="00EA167C" w:rsidP="00DB010D">
      <w:pPr>
        <w:pStyle w:val="NoSpacing"/>
      </w:pPr>
    </w:p>
    <w:p w:rsidR="008F12EE" w:rsidRPr="008F12EE" w:rsidRDefault="00DD6D30" w:rsidP="00DB010D">
      <w:pPr>
        <w:pStyle w:val="NoSpacing"/>
      </w:pPr>
      <w:r w:rsidRPr="008F12EE">
        <w:t xml:space="preserve">HAI engaged </w:t>
      </w:r>
      <w:r w:rsidR="008F12EE" w:rsidRPr="008F12EE">
        <w:t xml:space="preserve">effectively with multiple agencies (UNHCR, WFP, MSF, HI, BRC, </w:t>
      </w:r>
      <w:proofErr w:type="gramStart"/>
      <w:r w:rsidR="008F12EE" w:rsidRPr="008F12EE">
        <w:t>DRC</w:t>
      </w:r>
      <w:proofErr w:type="gramEnd"/>
      <w:r w:rsidR="008F12EE" w:rsidRPr="008F12EE">
        <w:t>) in the field</w:t>
      </w:r>
      <w:r w:rsidR="003122FE">
        <w:t xml:space="preserve">, </w:t>
      </w:r>
      <w:r w:rsidR="008F12EE" w:rsidRPr="008F12EE">
        <w:t xml:space="preserve">and </w:t>
      </w:r>
      <w:r w:rsidR="003122FE">
        <w:t xml:space="preserve">with </w:t>
      </w:r>
      <w:r w:rsidR="008F12EE" w:rsidRPr="008F12EE">
        <w:t xml:space="preserve">global cluster leads (protection and food security). Its deployments of experts </w:t>
      </w:r>
      <w:r w:rsidR="003122FE">
        <w:t>arranged under this project (but funded separately) were</w:t>
      </w:r>
      <w:r w:rsidR="008F12EE" w:rsidRPr="008F12EE">
        <w:t xml:space="preserve"> particularly effective, allowing HAI to contribute to particular responses as well as guidelines and tools</w:t>
      </w:r>
      <w:r w:rsidR="003122FE">
        <w:t>. HAI’s approach to these engagements is praised</w:t>
      </w:r>
      <w:r w:rsidR="008F12EE" w:rsidRPr="008F12EE">
        <w:t xml:space="preserve"> for </w:t>
      </w:r>
      <w:r w:rsidR="003122FE">
        <w:t xml:space="preserve">being </w:t>
      </w:r>
      <w:r w:rsidR="008F12EE" w:rsidRPr="008F12EE">
        <w:t>inclusive, constructive, and appreciative</w:t>
      </w:r>
      <w:r w:rsidR="003122FE">
        <w:t xml:space="preserve"> (not campaigning)</w:t>
      </w:r>
      <w:r w:rsidR="008F12EE" w:rsidRPr="008F12EE">
        <w:t xml:space="preserve">. </w:t>
      </w:r>
      <w:r w:rsidR="008F12EE">
        <w:t xml:space="preserve">HAI will need to provide additional </w:t>
      </w:r>
      <w:r w:rsidR="003122FE">
        <w:t xml:space="preserve">deployment </w:t>
      </w:r>
      <w:r w:rsidR="008F12EE">
        <w:t xml:space="preserve">capacity to meet demand for expertise in inclusion of age, gender, and disability. </w:t>
      </w:r>
      <w:r w:rsidR="008F12EE" w:rsidRPr="008F12EE">
        <w:t xml:space="preserve"> </w:t>
      </w:r>
    </w:p>
    <w:p w:rsidR="00D431AE" w:rsidRDefault="00D431AE" w:rsidP="00D431AE">
      <w:pPr>
        <w:pStyle w:val="NoSpacing"/>
      </w:pPr>
    </w:p>
    <w:p w:rsidR="00145431" w:rsidRPr="00FC5942" w:rsidRDefault="00145431" w:rsidP="00145431">
      <w:pPr>
        <w:pStyle w:val="NoSpacing"/>
        <w:ind w:left="720"/>
        <w:rPr>
          <w:i/>
        </w:rPr>
      </w:pPr>
      <w:r w:rsidRPr="00FC5942">
        <w:rPr>
          <w:i/>
        </w:rPr>
        <w:t>‘HOPE was generic awareness-raising</w:t>
      </w:r>
      <w:r w:rsidRPr="00FC5942">
        <w:rPr>
          <w:i/>
        </w:rPr>
        <w:sym w:font="Symbol" w:char="F0BE"/>
      </w:r>
      <w:r w:rsidRPr="00FC5942">
        <w:rPr>
          <w:i/>
        </w:rPr>
        <w:t>a wake-up call. Now we need tailored training for organizations’ (HAI)</w:t>
      </w:r>
    </w:p>
    <w:p w:rsidR="00145431" w:rsidRPr="00FA43A1" w:rsidRDefault="00145431" w:rsidP="00D431AE">
      <w:pPr>
        <w:pStyle w:val="NoSpacing"/>
      </w:pPr>
    </w:p>
    <w:p w:rsidR="00D431AE" w:rsidRDefault="00D431AE" w:rsidP="00037CF1">
      <w:pPr>
        <w:pStyle w:val="NoSpacing"/>
        <w:ind w:left="720"/>
        <w:rPr>
          <w:i/>
        </w:rPr>
      </w:pPr>
      <w:r w:rsidRPr="00FA43A1">
        <w:rPr>
          <w:i/>
        </w:rPr>
        <w:t xml:space="preserve">‘HAI has infiltrated the system. Now in the </w:t>
      </w:r>
      <w:r w:rsidR="003122FE">
        <w:rPr>
          <w:i/>
        </w:rPr>
        <w:t>Global Food Security Cluster</w:t>
      </w:r>
      <w:r w:rsidRPr="00FA43A1">
        <w:rPr>
          <w:i/>
        </w:rPr>
        <w:t>, age is always relevant and never overlooked. And this is right.’ (Partner)</w:t>
      </w:r>
    </w:p>
    <w:p w:rsidR="00D640D6" w:rsidRDefault="00D640D6" w:rsidP="00037CF1">
      <w:pPr>
        <w:pStyle w:val="NoSpacing"/>
        <w:ind w:left="720"/>
        <w:rPr>
          <w:i/>
        </w:rPr>
      </w:pPr>
    </w:p>
    <w:p w:rsidR="00D640D6" w:rsidRPr="00FA43A1" w:rsidRDefault="00D640D6" w:rsidP="00D640D6">
      <w:pPr>
        <w:pStyle w:val="NoSpacing"/>
        <w:ind w:left="720"/>
        <w:rPr>
          <w:i/>
        </w:rPr>
      </w:pPr>
      <w:r>
        <w:rPr>
          <w:i/>
        </w:rPr>
        <w:t>‘HAI</w:t>
      </w:r>
      <w:r w:rsidRPr="00D640D6">
        <w:rPr>
          <w:i/>
        </w:rPr>
        <w:t xml:space="preserve"> went about developing capacity in the right way</w:t>
      </w:r>
      <w:r>
        <w:rPr>
          <w:i/>
        </w:rPr>
        <w:t xml:space="preserve">. It did not </w:t>
      </w:r>
      <w:r w:rsidRPr="00D640D6">
        <w:rPr>
          <w:i/>
        </w:rPr>
        <w:t>assum</w:t>
      </w:r>
      <w:r>
        <w:rPr>
          <w:i/>
        </w:rPr>
        <w:t>e</w:t>
      </w:r>
      <w:r w:rsidRPr="00D640D6">
        <w:rPr>
          <w:i/>
        </w:rPr>
        <w:t xml:space="preserve"> that we don’t address needs of older people</w:t>
      </w:r>
      <w:r>
        <w:rPr>
          <w:i/>
        </w:rPr>
        <w:t xml:space="preserve">. It </w:t>
      </w:r>
      <w:r w:rsidRPr="00D640D6">
        <w:rPr>
          <w:i/>
        </w:rPr>
        <w:t>facilitat</w:t>
      </w:r>
      <w:r>
        <w:rPr>
          <w:i/>
        </w:rPr>
        <w:t>ed</w:t>
      </w:r>
      <w:r w:rsidRPr="00D640D6">
        <w:rPr>
          <w:i/>
        </w:rPr>
        <w:t xml:space="preserve"> inquiry</w:t>
      </w:r>
      <w:r>
        <w:rPr>
          <w:i/>
        </w:rPr>
        <w:t xml:space="preserve"> to refine our approach. It </w:t>
      </w:r>
      <w:r w:rsidRPr="00D640D6">
        <w:rPr>
          <w:i/>
        </w:rPr>
        <w:t xml:space="preserve">engaged </w:t>
      </w:r>
      <w:r w:rsidR="00E82F5D">
        <w:rPr>
          <w:i/>
        </w:rPr>
        <w:t xml:space="preserve">us </w:t>
      </w:r>
      <w:r>
        <w:rPr>
          <w:i/>
        </w:rPr>
        <w:t>in dialogue, without</w:t>
      </w:r>
      <w:r w:rsidRPr="00D640D6">
        <w:rPr>
          <w:i/>
        </w:rPr>
        <w:t xml:space="preserve"> shouting and screaming</w:t>
      </w:r>
      <w:r>
        <w:rPr>
          <w:i/>
        </w:rPr>
        <w:t>…’ (Partner)</w:t>
      </w:r>
    </w:p>
    <w:p w:rsidR="00D431AE" w:rsidRDefault="00D431AE" w:rsidP="00565FF5">
      <w:pPr>
        <w:spacing w:after="0" w:line="240" w:lineRule="auto"/>
        <w:rPr>
          <w:rFonts w:ascii="Calibri" w:eastAsia="Times New Roman" w:hAnsi="Calibri" w:cs="Times New Roman"/>
          <w:color w:val="000000"/>
          <w:lang w:eastAsia="en-GB"/>
        </w:rPr>
      </w:pPr>
    </w:p>
    <w:p w:rsidR="00FC5942" w:rsidRPr="00FC5942" w:rsidRDefault="00FC5942" w:rsidP="00FD3DC0">
      <w:pPr>
        <w:pStyle w:val="NoSpacing"/>
        <w:rPr>
          <w:b/>
        </w:rPr>
      </w:pPr>
      <w:r>
        <w:rPr>
          <w:b/>
        </w:rPr>
        <w:t>1.</w:t>
      </w:r>
      <w:r w:rsidRPr="00FC5942">
        <w:rPr>
          <w:b/>
        </w:rPr>
        <w:t>3 Outcomes</w:t>
      </w:r>
    </w:p>
    <w:p w:rsidR="00B67B0A" w:rsidRDefault="00E2780D" w:rsidP="00D202CC">
      <w:pPr>
        <w:pStyle w:val="NoSpacing"/>
      </w:pPr>
      <w:r>
        <w:t xml:space="preserve">HAI’s provision of expertise has already contributed to several important outcomes: raised awareness of older people among humanitarians; sensitization of </w:t>
      </w:r>
      <w:r w:rsidR="002822A2">
        <w:t>486</w:t>
      </w:r>
      <w:r>
        <w:t xml:space="preserve">+ field staff and policy makers worldwide; widespread interest in HAI and requests for its </w:t>
      </w:r>
      <w:r w:rsidR="00B67B0A">
        <w:t xml:space="preserve">expert </w:t>
      </w:r>
      <w:r>
        <w:t xml:space="preserve">assistance; multiple opportunities for collaboration in support of inclusive practices; and some reported changes in policies and practices in some locations. </w:t>
      </w:r>
    </w:p>
    <w:p w:rsidR="00B67B0A" w:rsidRDefault="00B67B0A" w:rsidP="00D202CC">
      <w:pPr>
        <w:pStyle w:val="NoSpacing"/>
      </w:pPr>
    </w:p>
    <w:p w:rsidR="00B67B0A" w:rsidRDefault="00654016" w:rsidP="00B67B0A">
      <w:pPr>
        <w:pStyle w:val="NoSpacing"/>
      </w:pPr>
      <w:r>
        <w:t>Specifically, t</w:t>
      </w:r>
      <w:r w:rsidR="00B67B0A">
        <w:t>raining has contributed to numerous requests for more training, increased requests for technical advice, and signs of changes to policies and practices. HAI in Pakistan and DRC have implemented further training themselves, generating further positive outcomes. Guidelines were published too recently to see many outcomes yet. But policy documents on older people and financing, and older people and displacement raised the profile of older people and HAI</w:t>
      </w:r>
      <w:r w:rsidR="00BC7292">
        <w:t>’s expertise</w:t>
      </w:r>
      <w:r>
        <w:t xml:space="preserve">. </w:t>
      </w:r>
      <w:r w:rsidR="00B67B0A">
        <w:t xml:space="preserve">Direct engagements have contributed to changes in the global food security cluster, the global protection cluster, and ICRC.  </w:t>
      </w:r>
    </w:p>
    <w:p w:rsidR="00B67B0A" w:rsidRDefault="00B67B0A" w:rsidP="00B67B0A">
      <w:pPr>
        <w:pStyle w:val="NoSpacing"/>
      </w:pPr>
    </w:p>
    <w:p w:rsidR="008F12EE" w:rsidRDefault="002A6E72" w:rsidP="00D202CC">
      <w:pPr>
        <w:pStyle w:val="NoSpacing"/>
        <w:rPr>
          <w:rFonts w:ascii="Calibri" w:eastAsia="Times New Roman" w:hAnsi="Calibri" w:cs="Times New Roman"/>
          <w:color w:val="000000"/>
          <w:lang w:eastAsia="en-GB"/>
        </w:rPr>
      </w:pPr>
      <w:r>
        <w:t>Looking forward</w:t>
      </w:r>
      <w:r w:rsidR="008F12EE" w:rsidRPr="00D202CC">
        <w:rPr>
          <w:rFonts w:ascii="Calibri" w:eastAsia="Times New Roman" w:hAnsi="Calibri" w:cs="Times New Roman"/>
          <w:color w:val="000000"/>
          <w:lang w:eastAsia="en-GB"/>
        </w:rPr>
        <w:t xml:space="preserve">, </w:t>
      </w:r>
      <w:r w:rsidR="00D202CC">
        <w:rPr>
          <w:rFonts w:ascii="Calibri" w:eastAsia="Times New Roman" w:hAnsi="Calibri" w:cs="Times New Roman"/>
          <w:color w:val="000000"/>
          <w:lang w:eastAsia="en-GB"/>
        </w:rPr>
        <w:t xml:space="preserve">HAI must </w:t>
      </w:r>
      <w:r>
        <w:rPr>
          <w:rFonts w:ascii="Calibri" w:eastAsia="Times New Roman" w:hAnsi="Calibri" w:cs="Times New Roman"/>
          <w:color w:val="000000"/>
          <w:lang w:eastAsia="en-GB"/>
        </w:rPr>
        <w:t xml:space="preserve">consider how </w:t>
      </w:r>
      <w:r w:rsidR="00CE7722">
        <w:rPr>
          <w:rFonts w:ascii="Calibri" w:eastAsia="Times New Roman" w:hAnsi="Calibri" w:cs="Times New Roman"/>
          <w:color w:val="000000"/>
          <w:lang w:eastAsia="en-GB"/>
        </w:rPr>
        <w:t xml:space="preserve">its </w:t>
      </w:r>
      <w:r>
        <w:rPr>
          <w:rFonts w:ascii="Calibri" w:eastAsia="Times New Roman" w:hAnsi="Calibri" w:cs="Times New Roman"/>
          <w:color w:val="000000"/>
          <w:lang w:eastAsia="en-GB"/>
        </w:rPr>
        <w:t xml:space="preserve">expertise </w:t>
      </w:r>
      <w:r w:rsidR="00CE7722">
        <w:rPr>
          <w:rFonts w:ascii="Calibri" w:eastAsia="Times New Roman" w:hAnsi="Calibri" w:cs="Times New Roman"/>
          <w:color w:val="000000"/>
          <w:lang w:eastAsia="en-GB"/>
        </w:rPr>
        <w:t xml:space="preserve">can help to </w:t>
      </w:r>
      <w:r w:rsidR="00D202CC">
        <w:rPr>
          <w:rFonts w:ascii="Calibri" w:eastAsia="Times New Roman" w:hAnsi="Calibri" w:cs="Times New Roman"/>
          <w:color w:val="000000"/>
          <w:lang w:eastAsia="en-GB"/>
        </w:rPr>
        <w:t xml:space="preserve">bring changes at the field level, perhaps </w:t>
      </w:r>
      <w:r w:rsidR="00B67B0A">
        <w:rPr>
          <w:rFonts w:ascii="Calibri" w:eastAsia="Times New Roman" w:hAnsi="Calibri" w:cs="Times New Roman"/>
          <w:color w:val="000000"/>
          <w:lang w:eastAsia="en-GB"/>
        </w:rPr>
        <w:t xml:space="preserve">focusing </w:t>
      </w:r>
      <w:r>
        <w:rPr>
          <w:rFonts w:ascii="Calibri" w:eastAsia="Times New Roman" w:hAnsi="Calibri" w:cs="Times New Roman"/>
          <w:color w:val="000000"/>
          <w:lang w:eastAsia="en-GB"/>
        </w:rPr>
        <w:t xml:space="preserve">initially </w:t>
      </w:r>
      <w:r w:rsidR="00B67B0A">
        <w:rPr>
          <w:rFonts w:ascii="Calibri" w:eastAsia="Times New Roman" w:hAnsi="Calibri" w:cs="Times New Roman"/>
          <w:color w:val="000000"/>
          <w:lang w:eastAsia="en-GB"/>
        </w:rPr>
        <w:t xml:space="preserve">on </w:t>
      </w:r>
      <w:r w:rsidR="00D202CC">
        <w:rPr>
          <w:rFonts w:ascii="Calibri" w:eastAsia="Times New Roman" w:hAnsi="Calibri" w:cs="Times New Roman"/>
          <w:color w:val="000000"/>
          <w:lang w:eastAsia="en-GB"/>
        </w:rPr>
        <w:t>a selection of locations</w:t>
      </w:r>
      <w:r w:rsidR="001641B2">
        <w:rPr>
          <w:rFonts w:ascii="Calibri" w:eastAsia="Times New Roman" w:hAnsi="Calibri" w:cs="Times New Roman"/>
          <w:color w:val="000000"/>
          <w:lang w:eastAsia="en-GB"/>
        </w:rPr>
        <w:t xml:space="preserve">. It should also </w:t>
      </w:r>
      <w:r w:rsidR="00D202CC">
        <w:rPr>
          <w:rFonts w:ascii="Calibri" w:eastAsia="Times New Roman" w:hAnsi="Calibri" w:cs="Times New Roman"/>
          <w:color w:val="000000"/>
          <w:lang w:eastAsia="en-GB"/>
        </w:rPr>
        <w:t>establish a mechanism for follow up and monitoring</w:t>
      </w:r>
      <w:r w:rsidR="006349F5">
        <w:rPr>
          <w:rFonts w:ascii="Calibri" w:eastAsia="Times New Roman" w:hAnsi="Calibri" w:cs="Times New Roman"/>
          <w:color w:val="000000"/>
          <w:lang w:eastAsia="en-GB"/>
        </w:rPr>
        <w:t xml:space="preserve"> </w:t>
      </w:r>
      <w:r w:rsidR="003F0B0C">
        <w:rPr>
          <w:rFonts w:ascii="Calibri" w:eastAsia="Times New Roman" w:hAnsi="Calibri" w:cs="Times New Roman"/>
          <w:color w:val="000000"/>
          <w:lang w:eastAsia="en-GB"/>
        </w:rPr>
        <w:t xml:space="preserve">these </w:t>
      </w:r>
      <w:r w:rsidR="006349F5">
        <w:rPr>
          <w:rFonts w:ascii="Calibri" w:eastAsia="Times New Roman" w:hAnsi="Calibri" w:cs="Times New Roman"/>
          <w:color w:val="000000"/>
          <w:lang w:eastAsia="en-GB"/>
        </w:rPr>
        <w:t>outcomes</w:t>
      </w:r>
      <w:r w:rsidR="00D202CC">
        <w:rPr>
          <w:rFonts w:ascii="Calibri" w:eastAsia="Times New Roman" w:hAnsi="Calibri" w:cs="Times New Roman"/>
          <w:color w:val="000000"/>
          <w:lang w:eastAsia="en-GB"/>
        </w:rPr>
        <w:t xml:space="preserve">. </w:t>
      </w:r>
    </w:p>
    <w:p w:rsidR="008F12EE" w:rsidRDefault="008F12EE" w:rsidP="008F12EE">
      <w:pPr>
        <w:pStyle w:val="NoSpacing"/>
      </w:pPr>
    </w:p>
    <w:p w:rsidR="008F12EE" w:rsidRPr="00FA43A1" w:rsidRDefault="00EA52AE" w:rsidP="00EA52AE">
      <w:pPr>
        <w:pStyle w:val="NoSpacing"/>
        <w:ind w:left="720"/>
        <w:rPr>
          <w:i/>
        </w:rPr>
      </w:pPr>
      <w:r>
        <w:rPr>
          <w:i/>
        </w:rPr>
        <w:t>‘</w:t>
      </w:r>
      <w:r w:rsidR="008F12EE" w:rsidRPr="00FA43A1">
        <w:rPr>
          <w:i/>
        </w:rPr>
        <w:t>Despite this successful project, ongoing work is needed to firmly anchor older people’s issues within the humanitarian system in the same way as, for example, children's issues</w:t>
      </w:r>
      <w:r>
        <w:rPr>
          <w:i/>
        </w:rPr>
        <w:t>’</w:t>
      </w:r>
      <w:r w:rsidR="008F12EE" w:rsidRPr="00FA43A1">
        <w:rPr>
          <w:i/>
        </w:rPr>
        <w:t>. (Partner)</w:t>
      </w:r>
    </w:p>
    <w:p w:rsidR="008F12EE" w:rsidRDefault="008F12EE" w:rsidP="00FD3DC0">
      <w:pPr>
        <w:pStyle w:val="NoSpacing"/>
      </w:pPr>
    </w:p>
    <w:p w:rsidR="00FC5942" w:rsidRPr="00E459BE" w:rsidRDefault="00596644" w:rsidP="00390758">
      <w:pPr>
        <w:pStyle w:val="Heading3"/>
        <w:rPr>
          <w:rFonts w:asciiTheme="minorHAnsi" w:hAnsiTheme="minorHAnsi"/>
          <w:color w:val="auto"/>
          <w:sz w:val="24"/>
        </w:rPr>
      </w:pPr>
      <w:bookmarkStart w:id="7" w:name="_Toc352225934"/>
      <w:r w:rsidRPr="00E459BE">
        <w:rPr>
          <w:rFonts w:asciiTheme="minorHAnsi" w:hAnsiTheme="minorHAnsi"/>
          <w:color w:val="auto"/>
          <w:sz w:val="24"/>
        </w:rPr>
        <w:t xml:space="preserve">2. </w:t>
      </w:r>
      <w:r w:rsidR="008E606E">
        <w:rPr>
          <w:rFonts w:asciiTheme="minorHAnsi" w:hAnsiTheme="minorHAnsi"/>
          <w:color w:val="auto"/>
          <w:sz w:val="24"/>
        </w:rPr>
        <w:t>Improved</w:t>
      </w:r>
      <w:r w:rsidRPr="00E459BE">
        <w:rPr>
          <w:rFonts w:asciiTheme="minorHAnsi" w:hAnsiTheme="minorHAnsi"/>
          <w:color w:val="auto"/>
          <w:sz w:val="24"/>
        </w:rPr>
        <w:t xml:space="preserve"> Assessment</w:t>
      </w:r>
      <w:r w:rsidR="008E606E">
        <w:rPr>
          <w:rFonts w:asciiTheme="minorHAnsi" w:hAnsiTheme="minorHAnsi"/>
          <w:color w:val="auto"/>
          <w:sz w:val="24"/>
        </w:rPr>
        <w:t>s</w:t>
      </w:r>
      <w:bookmarkEnd w:id="7"/>
      <w:r w:rsidRPr="00E459BE">
        <w:rPr>
          <w:rFonts w:asciiTheme="minorHAnsi" w:hAnsiTheme="minorHAnsi"/>
          <w:color w:val="auto"/>
          <w:sz w:val="24"/>
        </w:rPr>
        <w:t xml:space="preserve"> </w:t>
      </w:r>
    </w:p>
    <w:p w:rsidR="00390758" w:rsidRPr="00390758" w:rsidRDefault="00F129F5" w:rsidP="00390758">
      <w:pPr>
        <w:pStyle w:val="NoSpacing"/>
      </w:pPr>
      <w:r>
        <w:t xml:space="preserve">In the second work stream, </w:t>
      </w:r>
      <w:r w:rsidR="00390758" w:rsidRPr="00390758">
        <w:t xml:space="preserve">HAI undertook to achieve this </w:t>
      </w:r>
      <w:r>
        <w:t>result</w:t>
      </w:r>
      <w:r w:rsidR="00390758" w:rsidRPr="00390758">
        <w:t xml:space="preserve">: </w:t>
      </w:r>
    </w:p>
    <w:p w:rsidR="00390758" w:rsidRDefault="00390758" w:rsidP="00390758">
      <w:pPr>
        <w:pStyle w:val="NoSpacing"/>
      </w:pPr>
      <w:r w:rsidRPr="00390758">
        <w:rPr>
          <w:i/>
        </w:rPr>
        <w:t>‘Improved multi-</w:t>
      </w:r>
      <w:proofErr w:type="spellStart"/>
      <w:r w:rsidRPr="00390758">
        <w:rPr>
          <w:i/>
        </w:rPr>
        <w:t>sectoral</w:t>
      </w:r>
      <w:proofErr w:type="spellEnd"/>
      <w:r w:rsidRPr="00390758">
        <w:rPr>
          <w:i/>
        </w:rPr>
        <w:t xml:space="preserve"> and </w:t>
      </w:r>
      <w:proofErr w:type="spellStart"/>
      <w:r w:rsidRPr="00390758">
        <w:rPr>
          <w:i/>
        </w:rPr>
        <w:t>sectoral</w:t>
      </w:r>
      <w:proofErr w:type="spellEnd"/>
      <w:r w:rsidRPr="00390758">
        <w:rPr>
          <w:i/>
        </w:rPr>
        <w:t xml:space="preserve"> </w:t>
      </w:r>
      <w:r w:rsidR="009F2895">
        <w:rPr>
          <w:i/>
        </w:rPr>
        <w:t>assessments</w:t>
      </w:r>
      <w:r w:rsidRPr="00390758">
        <w:rPr>
          <w:i/>
        </w:rPr>
        <w:t xml:space="preserve"> on behalf of all vulnerable groups in a minimum of 4 field locations’.</w:t>
      </w:r>
    </w:p>
    <w:p w:rsidR="00E11E87" w:rsidRPr="00E11E87" w:rsidRDefault="00E11E87" w:rsidP="00390758">
      <w:pPr>
        <w:pStyle w:val="NoSpacing"/>
      </w:pPr>
    </w:p>
    <w:p w:rsidR="00390758" w:rsidRPr="00390758" w:rsidRDefault="00F129F5" w:rsidP="00390758">
      <w:pPr>
        <w:pStyle w:val="NoSpacing"/>
      </w:pPr>
      <w:r>
        <w:t xml:space="preserve">For the objective, </w:t>
      </w:r>
      <w:r w:rsidR="00390758" w:rsidRPr="00390758">
        <w:t>HAI propo</w:t>
      </w:r>
      <w:r w:rsidR="009D0BA4">
        <w:t>sed these indicators of success</w:t>
      </w:r>
      <w:r w:rsidR="00390758" w:rsidRPr="00390758">
        <w:t>:</w:t>
      </w:r>
    </w:p>
    <w:p w:rsidR="00390758" w:rsidRPr="00390758" w:rsidRDefault="00DE4B57" w:rsidP="00D13862">
      <w:pPr>
        <w:pStyle w:val="NoSpacing"/>
        <w:numPr>
          <w:ilvl w:val="0"/>
          <w:numId w:val="2"/>
        </w:numPr>
      </w:pPr>
      <w:r>
        <w:t xml:space="preserve">Cluster Leads: </w:t>
      </w:r>
      <w:r w:rsidR="00390758" w:rsidRPr="00390758">
        <w:t>Minimum 3 cluster lead agencies refer to older people within policy materials and needs assessment</w:t>
      </w:r>
    </w:p>
    <w:p w:rsidR="00390758" w:rsidRPr="00390758" w:rsidRDefault="00DE4B57" w:rsidP="00D13862">
      <w:pPr>
        <w:pStyle w:val="NoSpacing"/>
        <w:numPr>
          <w:ilvl w:val="0"/>
          <w:numId w:val="2"/>
        </w:numPr>
      </w:pPr>
      <w:r>
        <w:t xml:space="preserve">IASC Agencies: </w:t>
      </w:r>
      <w:r w:rsidR="00390758" w:rsidRPr="00390758">
        <w:t>IASC agencies collect data disaggregated by age and sex, resulting in action in 4 field locations</w:t>
      </w:r>
    </w:p>
    <w:p w:rsidR="00390758" w:rsidRPr="00390758" w:rsidRDefault="00DE4B57" w:rsidP="00D13862">
      <w:pPr>
        <w:pStyle w:val="NoSpacing"/>
        <w:numPr>
          <w:ilvl w:val="0"/>
          <w:numId w:val="2"/>
        </w:numPr>
      </w:pPr>
      <w:r>
        <w:t xml:space="preserve">Guidance: </w:t>
      </w:r>
      <w:r w:rsidR="00390758" w:rsidRPr="00390758">
        <w:t>Guidance on incorporating needs of older and disabled people into NA disseminated by end 2012</w:t>
      </w:r>
    </w:p>
    <w:p w:rsidR="00390758" w:rsidRDefault="00DE4B57" w:rsidP="00D13862">
      <w:pPr>
        <w:pStyle w:val="NoSpacing"/>
        <w:numPr>
          <w:ilvl w:val="0"/>
          <w:numId w:val="2"/>
        </w:numPr>
      </w:pPr>
      <w:r>
        <w:t xml:space="preserve">Assessments: </w:t>
      </w:r>
      <w:r w:rsidR="00390758" w:rsidRPr="00390758">
        <w:t xml:space="preserve">Needs assessments integrated into multi-sector assessments and </w:t>
      </w:r>
      <w:proofErr w:type="spellStart"/>
      <w:r w:rsidR="00390758" w:rsidRPr="00390758">
        <w:t>intercluster</w:t>
      </w:r>
      <w:proofErr w:type="spellEnd"/>
      <w:r w:rsidR="00390758" w:rsidRPr="00390758">
        <w:t xml:space="preserve"> support in 4 locations</w:t>
      </w:r>
    </w:p>
    <w:p w:rsidR="008215DE" w:rsidRPr="00390758" w:rsidRDefault="008215DE" w:rsidP="008215DE">
      <w:pPr>
        <w:pStyle w:val="NoSpacing"/>
      </w:pPr>
    </w:p>
    <w:p w:rsidR="00264696" w:rsidRPr="00AB2BDA" w:rsidRDefault="00EE71CF" w:rsidP="00264696">
      <w:pPr>
        <w:pStyle w:val="NoSpacing"/>
        <w:rPr>
          <w:b/>
        </w:rPr>
      </w:pPr>
      <w:r>
        <w:rPr>
          <w:b/>
        </w:rPr>
        <w:t>2.</w:t>
      </w:r>
      <w:r w:rsidR="00264696" w:rsidRPr="00AB2BDA">
        <w:rPr>
          <w:b/>
        </w:rPr>
        <w:t>1 Relevance</w:t>
      </w:r>
    </w:p>
    <w:p w:rsidR="009E7BE9" w:rsidRPr="00DC2DD1" w:rsidRDefault="00F129F5" w:rsidP="00565FF5">
      <w:pPr>
        <w:pStyle w:val="NoSpacing"/>
      </w:pPr>
      <w:r>
        <w:t xml:space="preserve">Improving needs assessments is clearly consistent with increasing </w:t>
      </w:r>
      <w:r w:rsidR="00C879A8">
        <w:t xml:space="preserve">humanitarian </w:t>
      </w:r>
      <w:r>
        <w:t xml:space="preserve">capacity to address needs. </w:t>
      </w:r>
      <w:r w:rsidR="00023757">
        <w:t>N</w:t>
      </w:r>
      <w:r w:rsidR="009E7BE9" w:rsidRPr="00DC2DD1">
        <w:t xml:space="preserve">eeds assessments </w:t>
      </w:r>
      <w:r>
        <w:t xml:space="preserve">are </w:t>
      </w:r>
      <w:r w:rsidR="009E7BE9" w:rsidRPr="00DC2DD1">
        <w:t>critical to an inclusive humanitarian response,</w:t>
      </w:r>
      <w:r w:rsidR="00367F91">
        <w:t xml:space="preserve"> </w:t>
      </w:r>
      <w:r w:rsidR="00581086">
        <w:t>and</w:t>
      </w:r>
      <w:r w:rsidR="009E7BE9" w:rsidRPr="00DC2DD1">
        <w:t xml:space="preserve"> </w:t>
      </w:r>
      <w:r w:rsidR="00023757">
        <w:t xml:space="preserve">they </w:t>
      </w:r>
      <w:r w:rsidR="00581086">
        <w:t xml:space="preserve">may </w:t>
      </w:r>
      <w:r w:rsidR="009E7BE9" w:rsidRPr="00DC2DD1">
        <w:t xml:space="preserve">shape </w:t>
      </w:r>
      <w:r w:rsidR="00855B21">
        <w:t xml:space="preserve">a whole </w:t>
      </w:r>
      <w:r w:rsidR="009E7BE9" w:rsidRPr="00DC2DD1">
        <w:t>response</w:t>
      </w:r>
      <w:r w:rsidR="00581086">
        <w:t xml:space="preserve"> to be inclusive</w:t>
      </w:r>
      <w:r w:rsidR="009E7BE9" w:rsidRPr="00DC2DD1">
        <w:t xml:space="preserve">. </w:t>
      </w:r>
      <w:r w:rsidRPr="006F7F8F">
        <w:t>I</w:t>
      </w:r>
      <w:r w:rsidR="00DC2DD1" w:rsidRPr="006F7F8F">
        <w:rPr>
          <w:rFonts w:ascii="Calibri" w:eastAsia="Times New Roman" w:hAnsi="Calibri" w:cs="Times New Roman"/>
          <w:color w:val="000000"/>
          <w:lang w:eastAsia="en-GB"/>
        </w:rPr>
        <w:t xml:space="preserve">nter-cluster </w:t>
      </w:r>
      <w:r w:rsidR="00C879A8" w:rsidRPr="006F7F8F">
        <w:rPr>
          <w:rFonts w:ascii="Calibri" w:eastAsia="Times New Roman" w:hAnsi="Calibri" w:cs="Times New Roman"/>
          <w:color w:val="000000"/>
          <w:lang w:eastAsia="en-GB"/>
        </w:rPr>
        <w:t>assessments</w:t>
      </w:r>
      <w:r w:rsidR="00DC2DD1" w:rsidRPr="006F7F8F">
        <w:rPr>
          <w:rFonts w:ascii="Calibri" w:eastAsia="Times New Roman" w:hAnsi="Calibri" w:cs="Times New Roman"/>
          <w:color w:val="000000"/>
          <w:lang w:eastAsia="en-GB"/>
        </w:rPr>
        <w:t xml:space="preserve"> rarely integrate cross-cutting issues,</w:t>
      </w:r>
      <w:r w:rsidR="00367F91" w:rsidRPr="00EE71CF">
        <w:rPr>
          <w:rStyle w:val="FootnoteReference"/>
          <w:rFonts w:ascii="Calibri" w:eastAsia="Times New Roman" w:hAnsi="Calibri" w:cs="Times New Roman"/>
          <w:color w:val="000000"/>
          <w:lang w:eastAsia="en-GB"/>
        </w:rPr>
        <w:footnoteReference w:id="23"/>
      </w:r>
      <w:r w:rsidR="00367F91">
        <w:t xml:space="preserve"> </w:t>
      </w:r>
      <w:r w:rsidR="00DC2DD1" w:rsidRPr="00DC2DD1">
        <w:rPr>
          <w:rFonts w:ascii="Calibri" w:eastAsia="Times New Roman" w:hAnsi="Calibri" w:cs="Times New Roman"/>
          <w:color w:val="000000"/>
          <w:lang w:eastAsia="en-GB"/>
        </w:rPr>
        <w:t>t</w:t>
      </w:r>
      <w:r w:rsidR="009E7BE9" w:rsidRPr="00DC2DD1">
        <w:t xml:space="preserve">ools </w:t>
      </w:r>
      <w:r>
        <w:t xml:space="preserve">were </w:t>
      </w:r>
      <w:r w:rsidR="009E7BE9" w:rsidRPr="00DC2DD1">
        <w:t xml:space="preserve">lacking for assessing the needs of older people, and </w:t>
      </w:r>
      <w:r w:rsidR="00DC2DD1" w:rsidRPr="00DC2DD1">
        <w:rPr>
          <w:rFonts w:ascii="Calibri" w:eastAsia="Times New Roman" w:hAnsi="Calibri" w:cs="Times New Roman"/>
          <w:color w:val="000000"/>
          <w:lang w:eastAsia="en-GB"/>
        </w:rPr>
        <w:t>i</w:t>
      </w:r>
      <w:r w:rsidR="00DC2DD1" w:rsidRPr="00DC2DD1">
        <w:t xml:space="preserve">nformation about the needs of older people is systemically </w:t>
      </w:r>
      <w:r>
        <w:t>absent</w:t>
      </w:r>
      <w:r w:rsidR="00DC2DD1" w:rsidRPr="00DC2DD1">
        <w:t xml:space="preserve">. </w:t>
      </w:r>
      <w:r w:rsidR="009E7BE9" w:rsidRPr="00DC2DD1">
        <w:t xml:space="preserve">HAI’s </w:t>
      </w:r>
      <w:r w:rsidR="00DC2DD1">
        <w:t xml:space="preserve">proposed </w:t>
      </w:r>
      <w:r w:rsidR="009E7BE9" w:rsidRPr="00DC2DD1">
        <w:t>methodology</w:t>
      </w:r>
      <w:r w:rsidR="003F1229" w:rsidRPr="003F1229">
        <w:t xml:space="preserve"> </w:t>
      </w:r>
      <w:r w:rsidR="003F1229">
        <w:t>was to</w:t>
      </w:r>
      <w:r w:rsidR="003F1229" w:rsidRPr="00DC2DD1">
        <w:t xml:space="preserve"> </w:t>
      </w:r>
      <w:r w:rsidR="003F1229">
        <w:t>fill this gap</w:t>
      </w:r>
      <w:r>
        <w:t>,</w:t>
      </w:r>
      <w:r w:rsidR="009E7BE9" w:rsidRPr="00DC2DD1">
        <w:t xml:space="preserve"> </w:t>
      </w:r>
      <w:r w:rsidR="003F1229">
        <w:t xml:space="preserve">by </w:t>
      </w:r>
      <w:r>
        <w:t>design</w:t>
      </w:r>
      <w:r w:rsidR="003F1229">
        <w:t xml:space="preserve">ing an approach </w:t>
      </w:r>
      <w:r>
        <w:t xml:space="preserve">in line with </w:t>
      </w:r>
      <w:r w:rsidRPr="00DC2DD1">
        <w:t xml:space="preserve">needs assessment </w:t>
      </w:r>
      <w:r>
        <w:t xml:space="preserve">initiatives </w:t>
      </w:r>
      <w:r w:rsidRPr="00DC2DD1">
        <w:t>(NATF, ACAPS, and MIRA)</w:t>
      </w:r>
      <w:r>
        <w:t>,</w:t>
      </w:r>
      <w:r w:rsidRPr="00DC2DD1">
        <w:t xml:space="preserve"> </w:t>
      </w:r>
      <w:r w:rsidR="009E7BE9" w:rsidRPr="00DC2DD1">
        <w:t>and test</w:t>
      </w:r>
      <w:r w:rsidR="003F1229">
        <w:t>ing it</w:t>
      </w:r>
      <w:r w:rsidR="00C879A8">
        <w:t>s utility</w:t>
      </w:r>
      <w:r w:rsidR="003F1229">
        <w:t xml:space="preserve"> </w:t>
      </w:r>
      <w:r w:rsidR="009E7BE9" w:rsidRPr="00DC2DD1">
        <w:t xml:space="preserve">in four locations. </w:t>
      </w:r>
    </w:p>
    <w:p w:rsidR="009E7BE9" w:rsidRDefault="009E7BE9" w:rsidP="00565FF5">
      <w:pPr>
        <w:pStyle w:val="NoSpacing"/>
      </w:pPr>
    </w:p>
    <w:p w:rsidR="000F274E" w:rsidRDefault="000F274E" w:rsidP="000F274E">
      <w:pPr>
        <w:pStyle w:val="NoSpacing"/>
      </w:pPr>
      <w:r>
        <w:lastRenderedPageBreak/>
        <w:t>Improving needs assessment is appropriate for HAI, which has long engaged with the challenges of needs assessment and SADD</w:t>
      </w:r>
      <w:r w:rsidR="006F7F8F">
        <w:t>,</w:t>
      </w:r>
      <w:r>
        <w:t xml:space="preserve"> and </w:t>
      </w:r>
      <w:r w:rsidR="006F7F8F">
        <w:t xml:space="preserve">was </w:t>
      </w:r>
      <w:r>
        <w:t>requested by IASC to ‘</w:t>
      </w:r>
      <w:r w:rsidRPr="00EE71CF">
        <w:t>incorporate the needs of older persons in all assessment methodologies</w:t>
      </w:r>
      <w:r w:rsidR="004E7B33">
        <w:t>.</w:t>
      </w:r>
      <w:r>
        <w:t>’</w:t>
      </w:r>
      <w:r w:rsidR="00172AEC">
        <w:rPr>
          <w:rStyle w:val="FootnoteReference"/>
        </w:rPr>
        <w:footnoteReference w:id="24"/>
      </w:r>
      <w:r>
        <w:t xml:space="preserve"> </w:t>
      </w:r>
      <w:r w:rsidR="006F7F8F" w:rsidRPr="006F7F8F">
        <w:t>In Pakistan, HAI’s country team required a more rigorous and practical approach, as well as capacity and tools for needs assessment.</w:t>
      </w:r>
    </w:p>
    <w:p w:rsidR="000F274E" w:rsidRDefault="000F274E" w:rsidP="00565FF5">
      <w:pPr>
        <w:pStyle w:val="NoSpacing"/>
      </w:pPr>
    </w:p>
    <w:p w:rsidR="00816D14" w:rsidRDefault="00816D14" w:rsidP="000F274E">
      <w:pPr>
        <w:pStyle w:val="NoSpacing"/>
      </w:pPr>
      <w:r w:rsidRPr="009D6479">
        <w:t>Improving needs assessment to ‘include all vulnerable groups’ is also appropriate for clusters and partners</w:t>
      </w:r>
      <w:r w:rsidR="006F7F8F">
        <w:t xml:space="preserve">. Such improvements are </w:t>
      </w:r>
      <w:r w:rsidRPr="009D6479">
        <w:t>requested by IASC, agree</w:t>
      </w:r>
      <w:r w:rsidR="006F7F8F">
        <w:t xml:space="preserve">able to </w:t>
      </w:r>
      <w:r w:rsidRPr="009D6479">
        <w:t xml:space="preserve">partners, and of interest to donors such as ECHO and DFID. It was </w:t>
      </w:r>
      <w:r w:rsidR="006F7F8F">
        <w:t xml:space="preserve">also </w:t>
      </w:r>
      <w:r w:rsidRPr="009D6479">
        <w:t xml:space="preserve">appropriate to develop a methodology for testing with clusters in selected field locations. </w:t>
      </w:r>
      <w:r w:rsidR="009D6479">
        <w:t>In Pakistan, the exercise was relevant for partners, NGOs and INGOs and donors</w:t>
      </w:r>
      <w:r w:rsidR="006F7F8F">
        <w:t xml:space="preserve">. </w:t>
      </w:r>
    </w:p>
    <w:p w:rsidR="00513C62" w:rsidRDefault="00513C62" w:rsidP="000F274E">
      <w:pPr>
        <w:pStyle w:val="NoSpacing"/>
      </w:pPr>
    </w:p>
    <w:p w:rsidR="000F274E" w:rsidRDefault="006F7F8F" w:rsidP="000F274E">
      <w:pPr>
        <w:pStyle w:val="NoSpacing"/>
      </w:pPr>
      <w:r w:rsidRPr="000F6F5A">
        <w:t xml:space="preserve">Still, HAI’s plan to improve needs assessments </w:t>
      </w:r>
      <w:r w:rsidR="00855B21">
        <w:t>faced structural constraints</w:t>
      </w:r>
      <w:r w:rsidRPr="000F6F5A">
        <w:t>. Agencies that collect SADD may not use it, and needs assessments remain only part of humanitarian decision-making.</w:t>
      </w:r>
      <w:r w:rsidR="000F6F5A" w:rsidRPr="000F6F5A">
        <w:t xml:space="preserve"> </w:t>
      </w:r>
      <w:r w:rsidR="008B1AC7" w:rsidRPr="000F6F5A">
        <w:t xml:space="preserve">In Pakistan, for example, the needs of beneficiaries were assessed and </w:t>
      </w:r>
      <w:r w:rsidR="008B1AC7">
        <w:t xml:space="preserve">many </w:t>
      </w:r>
      <w:r w:rsidR="008B1AC7" w:rsidRPr="000F6F5A">
        <w:t xml:space="preserve">found to be unmet, but nothing could </w:t>
      </w:r>
      <w:r w:rsidR="008B1AC7">
        <w:t xml:space="preserve">then </w:t>
      </w:r>
      <w:r w:rsidR="008B1AC7" w:rsidRPr="000F6F5A">
        <w:t>be done to address them</w:t>
      </w:r>
      <w:r w:rsidR="008B1AC7">
        <w:sym w:font="Symbol" w:char="F0BE"/>
      </w:r>
      <w:r w:rsidR="008B1AC7">
        <w:t xml:space="preserve"> this depended on government and UN policies</w:t>
      </w:r>
      <w:r w:rsidR="008B1AC7" w:rsidRPr="000F6F5A">
        <w:t>.</w:t>
      </w:r>
      <w:r w:rsidR="008B1AC7">
        <w:t xml:space="preserve">  Furthermore, i</w:t>
      </w:r>
      <w:r w:rsidR="000F6F5A" w:rsidRPr="000F6F5A">
        <w:t>mproving needs assessment to include disability is also considered relatively more difficult</w:t>
      </w:r>
      <w:r w:rsidR="008B1AC7">
        <w:t xml:space="preserve"> than age</w:t>
      </w:r>
      <w:r w:rsidR="000F6F5A" w:rsidRPr="000F6F5A">
        <w:t xml:space="preserve">. </w:t>
      </w:r>
    </w:p>
    <w:p w:rsidR="00513C62" w:rsidRDefault="00513C62" w:rsidP="000F274E">
      <w:pPr>
        <w:pStyle w:val="NoSpacing"/>
      </w:pPr>
    </w:p>
    <w:p w:rsidR="00513C62" w:rsidRPr="00C41CFC" w:rsidRDefault="00513C62" w:rsidP="00513C62">
      <w:pPr>
        <w:pStyle w:val="NoSpacing"/>
        <w:ind w:left="720"/>
        <w:rPr>
          <w:i/>
        </w:rPr>
      </w:pPr>
      <w:r w:rsidRPr="00C41CFC">
        <w:rPr>
          <w:i/>
        </w:rPr>
        <w:t xml:space="preserve">‘All donors have made it clear, we will fund you so long as you provide blanket projects that include older people and others; but not specific projects for older people’ (HAI Pakistan) </w:t>
      </w:r>
    </w:p>
    <w:p w:rsidR="00513C62" w:rsidRPr="00C41CFC" w:rsidRDefault="00513C62" w:rsidP="00513C62">
      <w:pPr>
        <w:pStyle w:val="NoSpacing"/>
      </w:pPr>
    </w:p>
    <w:p w:rsidR="00513C62" w:rsidRPr="00C41CFC" w:rsidRDefault="00513C62" w:rsidP="00513C62">
      <w:pPr>
        <w:pStyle w:val="NoSpacing"/>
        <w:ind w:left="720"/>
        <w:rPr>
          <w:i/>
        </w:rPr>
      </w:pPr>
      <w:r w:rsidRPr="00C41CFC">
        <w:rPr>
          <w:i/>
        </w:rPr>
        <w:t xml:space="preserve">‘We identified different problems and categorized them. The most important problem was income, then health, and then basic services. Social and public services are providing for needs but not meeting those of older people. This was not recognized before </w:t>
      </w:r>
      <w:r w:rsidR="00D90435">
        <w:rPr>
          <w:i/>
        </w:rPr>
        <w:t xml:space="preserve">the </w:t>
      </w:r>
      <w:r w:rsidRPr="00C41CFC">
        <w:rPr>
          <w:i/>
        </w:rPr>
        <w:t>assessment’ (</w:t>
      </w:r>
      <w:r>
        <w:rPr>
          <w:i/>
        </w:rPr>
        <w:t xml:space="preserve">Pakistan </w:t>
      </w:r>
      <w:r w:rsidRPr="00C41CFC">
        <w:rPr>
          <w:i/>
        </w:rPr>
        <w:t xml:space="preserve">Participant) </w:t>
      </w:r>
    </w:p>
    <w:p w:rsidR="006F7F8F" w:rsidRDefault="006F7F8F" w:rsidP="000F274E">
      <w:pPr>
        <w:pStyle w:val="NoSpacing"/>
      </w:pPr>
    </w:p>
    <w:p w:rsidR="00EE71CF" w:rsidRDefault="00EE71CF" w:rsidP="00EE71CF">
      <w:pPr>
        <w:pStyle w:val="NoSpacing"/>
        <w:rPr>
          <w:b/>
        </w:rPr>
      </w:pPr>
      <w:r>
        <w:rPr>
          <w:b/>
        </w:rPr>
        <w:t>2.</w:t>
      </w:r>
      <w:r w:rsidRPr="006A2066">
        <w:rPr>
          <w:b/>
        </w:rPr>
        <w:t>2 Effectiveness</w:t>
      </w:r>
    </w:p>
    <w:p w:rsidR="00EC5E2B" w:rsidRDefault="003A47CE" w:rsidP="00EC5E2B">
      <w:pPr>
        <w:pStyle w:val="NoSpacing"/>
      </w:pPr>
      <w:r>
        <w:t xml:space="preserve">HAI’s work to improve </w:t>
      </w:r>
      <w:r w:rsidR="003A0205">
        <w:t xml:space="preserve">needs assessments was </w:t>
      </w:r>
      <w:r w:rsidR="00146504">
        <w:t xml:space="preserve">partially </w:t>
      </w:r>
      <w:r w:rsidR="003A0205">
        <w:t>success</w:t>
      </w:r>
      <w:r w:rsidR="00EC5E2B">
        <w:t>ful</w:t>
      </w:r>
      <w:r w:rsidR="003A0205">
        <w:t xml:space="preserve">. It may not have improved </w:t>
      </w:r>
      <w:r w:rsidR="00EC5E2B">
        <w:t xml:space="preserve">the wider practice of </w:t>
      </w:r>
      <w:r w:rsidR="003A0205">
        <w:t>needs assessment</w:t>
      </w:r>
      <w:r w:rsidR="00146504">
        <w:t xml:space="preserve"> in four locations</w:t>
      </w:r>
      <w:r w:rsidR="00EC5E2B">
        <w:t>,</w:t>
      </w:r>
      <w:r w:rsidR="003A0205">
        <w:t xml:space="preserve"> and </w:t>
      </w:r>
      <w:r w:rsidR="00EC5E2B">
        <w:t xml:space="preserve">the needs of </w:t>
      </w:r>
      <w:r w:rsidR="003A0205">
        <w:t xml:space="preserve">older people may not have been mentioned in IASC material as </w:t>
      </w:r>
      <w:r w:rsidR="00EC5E2B">
        <w:t xml:space="preserve">hoped. </w:t>
      </w:r>
      <w:r w:rsidR="00A600B7">
        <w:t xml:space="preserve">But </w:t>
      </w:r>
      <w:r w:rsidR="003A0205">
        <w:t xml:space="preserve">HAI’s needs assessment methodology and its testing in four countries </w:t>
      </w:r>
      <w:r w:rsidR="00385012">
        <w:t>achieved a clear purpose</w:t>
      </w:r>
      <w:r w:rsidR="003A0205">
        <w:t xml:space="preserve">. </w:t>
      </w:r>
      <w:r w:rsidR="00EC5E2B">
        <w:t>To</w:t>
      </w:r>
      <w:r w:rsidR="00C63292">
        <w:t xml:space="preserve"> around 100 field staff</w:t>
      </w:r>
      <w:r w:rsidR="00EC5E2B">
        <w:t xml:space="preserve">, it </w:t>
      </w:r>
      <w:r w:rsidR="00385012">
        <w:t>provided</w:t>
      </w:r>
      <w:r w:rsidR="00C63292">
        <w:t xml:space="preserve"> a way to </w:t>
      </w:r>
      <w:r w:rsidR="003A0205">
        <w:t xml:space="preserve">accurately estimate the needs of older people </w:t>
      </w:r>
      <w:r w:rsidR="00C63292" w:rsidRPr="00C12AED">
        <w:t>us</w:t>
      </w:r>
      <w:r w:rsidR="00C63292">
        <w:t>ing</w:t>
      </w:r>
      <w:r w:rsidR="00C63292" w:rsidRPr="00C12AED">
        <w:t xml:space="preserve"> of secondary data, sound assumptions, and few resources.</w:t>
      </w:r>
      <w:r w:rsidR="00C63292">
        <w:t xml:space="preserve"> </w:t>
      </w:r>
      <w:r w:rsidR="00EC5E2B">
        <w:t xml:space="preserve">In Pakistan, it effectively trained a team to conduct a needs assessment. The team learned about doing needs assessment, and understood the extent of unmet needs. </w:t>
      </w:r>
    </w:p>
    <w:p w:rsidR="00EC5E2B" w:rsidRDefault="00EC5E2B" w:rsidP="00EE71CF">
      <w:pPr>
        <w:pStyle w:val="NoSpacing"/>
      </w:pPr>
    </w:p>
    <w:p w:rsidR="003A0205" w:rsidRDefault="00146504" w:rsidP="00EE71CF">
      <w:pPr>
        <w:pStyle w:val="NoSpacing"/>
      </w:pPr>
      <w:r>
        <w:t>However, n</w:t>
      </w:r>
      <w:r w:rsidR="001D608F">
        <w:t xml:space="preserve">ot </w:t>
      </w:r>
      <w:r w:rsidR="00A600B7">
        <w:t>all partners</w:t>
      </w:r>
      <w:r w:rsidR="001D608F">
        <w:t xml:space="preserve"> could understand the methodology and its </w:t>
      </w:r>
      <w:r w:rsidR="00C63292">
        <w:t xml:space="preserve">purpose. </w:t>
      </w:r>
      <w:r w:rsidR="00385012">
        <w:t>And i</w:t>
      </w:r>
      <w:r>
        <w:t xml:space="preserve">n Pakistan, the methodology could not be used to assess the needs of other vulnerable groups as </w:t>
      </w:r>
      <w:r w:rsidR="00385012">
        <w:t xml:space="preserve">now </w:t>
      </w:r>
      <w:r>
        <w:t>required.</w:t>
      </w:r>
      <w:r w:rsidR="001F377D">
        <w:t xml:space="preserve"> </w:t>
      </w:r>
      <w:r>
        <w:t xml:space="preserve">Looking ahead, questions </w:t>
      </w:r>
      <w:r w:rsidR="001F377D">
        <w:t xml:space="preserve">also </w:t>
      </w:r>
      <w:r>
        <w:t>arise: W</w:t>
      </w:r>
      <w:r w:rsidR="00C63292">
        <w:t>hat will happen next in testing locations</w:t>
      </w:r>
      <w:r>
        <w:t>? C</w:t>
      </w:r>
      <w:r w:rsidR="00C63292">
        <w:t xml:space="preserve">an HAI sustain follow up activities to ensure change? </w:t>
      </w:r>
    </w:p>
    <w:p w:rsidR="00EC5E2B" w:rsidRDefault="00EC5E2B" w:rsidP="00EE71CF">
      <w:pPr>
        <w:pStyle w:val="NoSpacing"/>
      </w:pPr>
    </w:p>
    <w:p w:rsidR="009D3E61" w:rsidRDefault="009D3E61" w:rsidP="00F17643">
      <w:pPr>
        <w:pStyle w:val="NoSpacing"/>
        <w:ind w:left="720"/>
        <w:rPr>
          <w:i/>
        </w:rPr>
      </w:pPr>
      <w:r w:rsidRPr="00132FDD">
        <w:rPr>
          <w:i/>
        </w:rPr>
        <w:t>‘If we are breathing down their neck, they integrate older people into their needs assessment, if not they don’t. This is frustrating.’ (HAI)</w:t>
      </w:r>
    </w:p>
    <w:p w:rsidR="009D3E61" w:rsidRPr="00132FDD" w:rsidRDefault="009D3E61" w:rsidP="00F17643">
      <w:pPr>
        <w:pStyle w:val="NoSpacing"/>
        <w:ind w:left="720"/>
        <w:rPr>
          <w:i/>
        </w:rPr>
      </w:pPr>
    </w:p>
    <w:p w:rsidR="00D13DA4" w:rsidRPr="00C12AED" w:rsidRDefault="00D13DA4" w:rsidP="00F17643">
      <w:pPr>
        <w:pStyle w:val="NoSpacing"/>
        <w:ind w:left="720"/>
        <w:rPr>
          <w:i/>
        </w:rPr>
      </w:pPr>
      <w:r w:rsidRPr="00C12AED">
        <w:rPr>
          <w:i/>
        </w:rPr>
        <w:t xml:space="preserve">‘It offers a reasonable and pragmatic approach, which is helpful but not heavy. There is no need to pay thousands to get (sex and age disaggregated) data’ (Partner) </w:t>
      </w:r>
    </w:p>
    <w:p w:rsidR="00C63292" w:rsidRDefault="00C63292" w:rsidP="00F17643">
      <w:pPr>
        <w:pStyle w:val="NoSpacing"/>
        <w:ind w:left="720"/>
      </w:pPr>
    </w:p>
    <w:p w:rsidR="00C41CFC" w:rsidRPr="00C41CFC" w:rsidRDefault="00C41CFC" w:rsidP="00F17643">
      <w:pPr>
        <w:pStyle w:val="NoSpacing"/>
        <w:ind w:left="720"/>
        <w:rPr>
          <w:i/>
        </w:rPr>
      </w:pPr>
      <w:r w:rsidRPr="00C41CFC">
        <w:rPr>
          <w:i/>
        </w:rPr>
        <w:t xml:space="preserve">‘The most important thing I learned was the SADD methodology. After the training, we were able to access secondary information about SADD, and this was useful. Now we use </w:t>
      </w:r>
      <w:r w:rsidR="00B1745D">
        <w:rPr>
          <w:i/>
        </w:rPr>
        <w:t xml:space="preserve">this </w:t>
      </w:r>
      <w:r w:rsidRPr="00C41CFC">
        <w:rPr>
          <w:i/>
        </w:rPr>
        <w:t xml:space="preserve">in data collection and reporting’ (HAI </w:t>
      </w:r>
      <w:r w:rsidR="009D3E61">
        <w:rPr>
          <w:i/>
        </w:rPr>
        <w:t>Pakistan</w:t>
      </w:r>
      <w:r w:rsidRPr="00C41CFC">
        <w:rPr>
          <w:i/>
        </w:rPr>
        <w:t xml:space="preserve">) </w:t>
      </w:r>
    </w:p>
    <w:p w:rsidR="00C63292" w:rsidRDefault="00C63292" w:rsidP="00F17643">
      <w:pPr>
        <w:pStyle w:val="NoSpacing"/>
        <w:ind w:left="720"/>
        <w:rPr>
          <w:i/>
        </w:rPr>
      </w:pPr>
    </w:p>
    <w:p w:rsidR="00C41CFC" w:rsidRPr="00C41CFC" w:rsidRDefault="00C41CFC" w:rsidP="00F17643">
      <w:pPr>
        <w:pStyle w:val="NoSpacing"/>
        <w:ind w:left="720"/>
        <w:rPr>
          <w:i/>
        </w:rPr>
      </w:pPr>
      <w:r w:rsidRPr="00C41CFC">
        <w:rPr>
          <w:i/>
        </w:rPr>
        <w:t>‘We learned a lot about SADD from available data.’ (</w:t>
      </w:r>
      <w:r w:rsidR="009D3E61">
        <w:rPr>
          <w:i/>
        </w:rPr>
        <w:t xml:space="preserve">Pakistan </w:t>
      </w:r>
      <w:r w:rsidRPr="00C41CFC">
        <w:rPr>
          <w:i/>
        </w:rPr>
        <w:t>Participant)</w:t>
      </w:r>
    </w:p>
    <w:p w:rsidR="00C12AED" w:rsidRDefault="00C12AED" w:rsidP="00C12AED">
      <w:pPr>
        <w:pStyle w:val="NoSpacing"/>
      </w:pPr>
    </w:p>
    <w:p w:rsidR="00132FDD" w:rsidRPr="00D13DA4" w:rsidRDefault="00132FDD" w:rsidP="00D13DA4">
      <w:pPr>
        <w:pStyle w:val="NoSpacing"/>
        <w:rPr>
          <w:b/>
        </w:rPr>
      </w:pPr>
      <w:r w:rsidRPr="00D13DA4">
        <w:rPr>
          <w:b/>
        </w:rPr>
        <w:t>2.3 Outcomes</w:t>
      </w:r>
    </w:p>
    <w:p w:rsidR="001D608F" w:rsidRDefault="00753BAE" w:rsidP="00D13DA4">
      <w:pPr>
        <w:pStyle w:val="NoSpacing"/>
      </w:pPr>
      <w:r>
        <w:t xml:space="preserve">Irrespective of </w:t>
      </w:r>
      <w:r w:rsidR="00D90435">
        <w:t>effectiveness, t</w:t>
      </w:r>
      <w:r w:rsidR="001D608F">
        <w:t>h</w:t>
      </w:r>
      <w:r>
        <w:t>is</w:t>
      </w:r>
      <w:r w:rsidR="001D608F">
        <w:t xml:space="preserve"> work to improve needs assessment contributed to various </w:t>
      </w:r>
      <w:r w:rsidR="00D90435">
        <w:t xml:space="preserve">positive </w:t>
      </w:r>
      <w:r w:rsidR="001D608F">
        <w:t xml:space="preserve">outcomes. At the policy level, it offered a means to include older people’s needs in needs assessments. At the practical level, it </w:t>
      </w:r>
      <w:r w:rsidR="00164757">
        <w:t xml:space="preserve">enabled participants in the testing to conduct needs assessments, </w:t>
      </w:r>
      <w:r w:rsidR="00203632">
        <w:t xml:space="preserve">enabled HAI to advocate for its use, </w:t>
      </w:r>
      <w:r w:rsidR="00164757">
        <w:t xml:space="preserve">and contributed to evolutions in needs assessments among partners. </w:t>
      </w:r>
      <w:r w:rsidR="00D90435">
        <w:t xml:space="preserve">In Pakistan, the methodology </w:t>
      </w:r>
      <w:r w:rsidR="00164757">
        <w:t xml:space="preserve">has been used by participants, enhanced the team’s reputation, and enabled it to access new funding streams.    </w:t>
      </w:r>
    </w:p>
    <w:p w:rsidR="00D90435" w:rsidRDefault="00D90435" w:rsidP="00D13DA4">
      <w:pPr>
        <w:pStyle w:val="NoSpacing"/>
      </w:pPr>
    </w:p>
    <w:p w:rsidR="001D608F" w:rsidRDefault="00D90435" w:rsidP="00D13DA4">
      <w:pPr>
        <w:pStyle w:val="NoSpacing"/>
      </w:pPr>
      <w:r>
        <w:t xml:space="preserve">However, </w:t>
      </w:r>
      <w:r w:rsidR="00203632">
        <w:t xml:space="preserve">of the four HAI country teams involved in its testing, </w:t>
      </w:r>
      <w:r>
        <w:t xml:space="preserve">only HAI Pakistan is known to have used the methodology. </w:t>
      </w:r>
      <w:r w:rsidR="006C1C8A">
        <w:t>I</w:t>
      </w:r>
      <w:r w:rsidR="006C1C8A" w:rsidRPr="00132FDD">
        <w:t xml:space="preserve">n Gaza, it was </w:t>
      </w:r>
      <w:r w:rsidR="00F4389A">
        <w:t xml:space="preserve">reportedly </w:t>
      </w:r>
      <w:r w:rsidR="006C1C8A" w:rsidRPr="00132FDD">
        <w:t>not used</w:t>
      </w:r>
      <w:r w:rsidR="00203632">
        <w:t xml:space="preserve"> despite an opportunity arising. </w:t>
      </w:r>
    </w:p>
    <w:p w:rsidR="00D90435" w:rsidRDefault="00D90435" w:rsidP="00D13DA4">
      <w:pPr>
        <w:pStyle w:val="NoSpacing"/>
      </w:pPr>
    </w:p>
    <w:p w:rsidR="00164757" w:rsidRDefault="00164757" w:rsidP="00164757">
      <w:pPr>
        <w:pStyle w:val="NoSpacing"/>
      </w:pPr>
      <w:r>
        <w:t xml:space="preserve">Looking ahead, HAI </w:t>
      </w:r>
      <w:r w:rsidR="00753BAE">
        <w:t>must</w:t>
      </w:r>
      <w:r>
        <w:t xml:space="preserve"> </w:t>
      </w:r>
      <w:r w:rsidR="00F4389A">
        <w:t xml:space="preserve">continue to </w:t>
      </w:r>
      <w:r>
        <w:t xml:space="preserve">aim for </w:t>
      </w:r>
      <w:r w:rsidR="00F4389A">
        <w:t xml:space="preserve">a </w:t>
      </w:r>
      <w:r>
        <w:t xml:space="preserve">system </w:t>
      </w:r>
      <w:r w:rsidR="00F4389A">
        <w:t>that a</w:t>
      </w:r>
      <w:r w:rsidR="001D608F" w:rsidRPr="00132FDD">
        <w:t>utomatic</w:t>
      </w:r>
      <w:r>
        <w:t>ally</w:t>
      </w:r>
      <w:r w:rsidR="001D608F" w:rsidRPr="00132FDD">
        <w:t xml:space="preserve"> </w:t>
      </w:r>
      <w:r>
        <w:t>assess</w:t>
      </w:r>
      <w:r w:rsidR="00F4389A">
        <w:t>es</w:t>
      </w:r>
      <w:r>
        <w:t xml:space="preserve"> the needs of </w:t>
      </w:r>
      <w:r w:rsidR="001D608F" w:rsidRPr="00132FDD">
        <w:t xml:space="preserve">older people in </w:t>
      </w:r>
      <w:r>
        <w:t>disasters</w:t>
      </w:r>
      <w:r w:rsidR="00F4389A">
        <w:t xml:space="preserve">. </w:t>
      </w:r>
      <w:r>
        <w:t xml:space="preserve">DFID and ECHO </w:t>
      </w:r>
      <w:r w:rsidR="00753BAE">
        <w:t xml:space="preserve">should </w:t>
      </w:r>
      <w:r w:rsidR="001D608F" w:rsidRPr="00132FDD">
        <w:t>strengthen</w:t>
      </w:r>
      <w:r>
        <w:t xml:space="preserve"> their </w:t>
      </w:r>
      <w:r w:rsidR="0064779D">
        <w:t xml:space="preserve">requirements for </w:t>
      </w:r>
      <w:r w:rsidR="001D608F" w:rsidRPr="00132FDD">
        <w:t xml:space="preserve">SADD. </w:t>
      </w:r>
      <w:r>
        <w:t xml:space="preserve">On a practical level, HAI should implement SADD in its </w:t>
      </w:r>
      <w:r w:rsidR="00F4389A">
        <w:t xml:space="preserve">own </w:t>
      </w:r>
      <w:r>
        <w:t xml:space="preserve">programming, and provide advice on good practice. </w:t>
      </w:r>
    </w:p>
    <w:p w:rsidR="001D608F" w:rsidRPr="00C12AED" w:rsidRDefault="001D608F" w:rsidP="001D608F">
      <w:pPr>
        <w:pStyle w:val="NoSpacing"/>
      </w:pPr>
    </w:p>
    <w:p w:rsidR="001D608F" w:rsidRPr="00C41CFC" w:rsidRDefault="001D608F" w:rsidP="00403025">
      <w:pPr>
        <w:pStyle w:val="NoSpacing"/>
        <w:ind w:left="720"/>
        <w:rPr>
          <w:i/>
        </w:rPr>
      </w:pPr>
      <w:r w:rsidRPr="00C41CFC">
        <w:rPr>
          <w:i/>
        </w:rPr>
        <w:t xml:space="preserve">‘Overall it </w:t>
      </w:r>
      <w:r w:rsidR="000C3C4B">
        <w:rPr>
          <w:i/>
        </w:rPr>
        <w:t>[needs assessment testing] has been very positive. I</w:t>
      </w:r>
      <w:r w:rsidRPr="00C41CFC">
        <w:rPr>
          <w:i/>
        </w:rPr>
        <w:t xml:space="preserve">t actually also helped raise </w:t>
      </w:r>
      <w:r w:rsidR="000C3C4B">
        <w:rPr>
          <w:i/>
        </w:rPr>
        <w:t xml:space="preserve">the </w:t>
      </w:r>
      <w:r w:rsidRPr="00C41CFC">
        <w:rPr>
          <w:i/>
        </w:rPr>
        <w:t>profile of HAI as specialist organization</w:t>
      </w:r>
      <w:r w:rsidR="000C3C4B">
        <w:rPr>
          <w:i/>
        </w:rPr>
        <w:t>. W</w:t>
      </w:r>
      <w:r w:rsidRPr="00C41CFC">
        <w:rPr>
          <w:i/>
        </w:rPr>
        <w:t>e can now talk about this methodology with confidence to other stakeholders</w:t>
      </w:r>
      <w:r w:rsidR="000C3C4B">
        <w:rPr>
          <w:i/>
        </w:rPr>
        <w:t xml:space="preserve">, </w:t>
      </w:r>
      <w:r w:rsidRPr="00C41CFC">
        <w:rPr>
          <w:i/>
        </w:rPr>
        <w:t>esp</w:t>
      </w:r>
      <w:r w:rsidR="00191F27">
        <w:rPr>
          <w:i/>
        </w:rPr>
        <w:t>ecially</w:t>
      </w:r>
      <w:r w:rsidRPr="00C41CFC">
        <w:rPr>
          <w:i/>
        </w:rPr>
        <w:t xml:space="preserve"> in emergencies’ (HAI </w:t>
      </w:r>
      <w:r w:rsidR="00615C21">
        <w:rPr>
          <w:i/>
        </w:rPr>
        <w:t>Pakistan</w:t>
      </w:r>
      <w:r w:rsidRPr="00C41CFC">
        <w:rPr>
          <w:i/>
        </w:rPr>
        <w:t xml:space="preserve">) </w:t>
      </w:r>
    </w:p>
    <w:p w:rsidR="001D608F" w:rsidRDefault="001D608F" w:rsidP="00403025">
      <w:pPr>
        <w:pStyle w:val="NoSpacing"/>
        <w:ind w:left="720"/>
      </w:pPr>
    </w:p>
    <w:p w:rsidR="00D90435" w:rsidRPr="00C41CFC" w:rsidRDefault="00D90435" w:rsidP="00403025">
      <w:pPr>
        <w:pStyle w:val="NoSpacing"/>
        <w:ind w:left="720"/>
      </w:pPr>
    </w:p>
    <w:p w:rsidR="001D608F" w:rsidRPr="00C41CFC" w:rsidRDefault="001D608F" w:rsidP="00403025">
      <w:pPr>
        <w:pStyle w:val="NoSpacing"/>
        <w:ind w:left="720"/>
        <w:rPr>
          <w:i/>
        </w:rPr>
      </w:pPr>
      <w:r w:rsidRPr="00C41CFC">
        <w:rPr>
          <w:i/>
        </w:rPr>
        <w:t xml:space="preserve">‘Currently we have one comprehensive needs assessment methodology, which covers only older people’s needs. We’d like it to cover the needs of other vulnerable groups.’ (HAI </w:t>
      </w:r>
      <w:r w:rsidR="00615C21">
        <w:rPr>
          <w:i/>
        </w:rPr>
        <w:t>Pakistan</w:t>
      </w:r>
      <w:r w:rsidRPr="00C41CFC">
        <w:rPr>
          <w:i/>
        </w:rPr>
        <w:t xml:space="preserve">) </w:t>
      </w:r>
    </w:p>
    <w:p w:rsidR="001D608F" w:rsidRPr="00C41CFC" w:rsidRDefault="001D608F" w:rsidP="00403025">
      <w:pPr>
        <w:pStyle w:val="NoSpacing"/>
        <w:ind w:left="720"/>
      </w:pPr>
    </w:p>
    <w:p w:rsidR="001D608F" w:rsidRPr="00C41CFC" w:rsidRDefault="001D608F" w:rsidP="00403025">
      <w:pPr>
        <w:pStyle w:val="NoSpacing"/>
        <w:ind w:left="720"/>
        <w:rPr>
          <w:i/>
        </w:rPr>
      </w:pPr>
      <w:r w:rsidRPr="00C41CFC">
        <w:rPr>
          <w:i/>
        </w:rPr>
        <w:t>‘I use it in HAI work, in training and official meeting</w:t>
      </w:r>
      <w:r w:rsidR="00890A7B">
        <w:rPr>
          <w:i/>
        </w:rPr>
        <w:t xml:space="preserve">s </w:t>
      </w:r>
      <w:r w:rsidRPr="00C41CFC">
        <w:rPr>
          <w:i/>
        </w:rPr>
        <w:t xml:space="preserve">as </w:t>
      </w:r>
      <w:r w:rsidR="00890A7B">
        <w:rPr>
          <w:i/>
        </w:rPr>
        <w:t>an essential component. I</w:t>
      </w:r>
      <w:r w:rsidRPr="00C41CFC">
        <w:rPr>
          <w:i/>
        </w:rPr>
        <w:t>t changed the way I work’ (</w:t>
      </w:r>
      <w:r w:rsidR="00FF3924">
        <w:rPr>
          <w:i/>
        </w:rPr>
        <w:t xml:space="preserve">HAI </w:t>
      </w:r>
      <w:r w:rsidR="00615C21">
        <w:rPr>
          <w:i/>
        </w:rPr>
        <w:t xml:space="preserve">Pakistan </w:t>
      </w:r>
      <w:r w:rsidRPr="00C41CFC">
        <w:rPr>
          <w:i/>
        </w:rPr>
        <w:t xml:space="preserve">Participant) </w:t>
      </w:r>
    </w:p>
    <w:p w:rsidR="001D608F" w:rsidRPr="00C41CFC" w:rsidRDefault="001D608F" w:rsidP="00403025">
      <w:pPr>
        <w:pStyle w:val="NoSpacing"/>
        <w:ind w:left="720"/>
      </w:pPr>
    </w:p>
    <w:p w:rsidR="001D608F" w:rsidRPr="00C41CFC" w:rsidRDefault="001D608F" w:rsidP="00403025">
      <w:pPr>
        <w:pStyle w:val="NoSpacing"/>
        <w:ind w:left="720"/>
        <w:rPr>
          <w:i/>
        </w:rPr>
      </w:pPr>
      <w:r w:rsidRPr="00C41CFC">
        <w:rPr>
          <w:i/>
        </w:rPr>
        <w:t>‘We do not need SADD, because we work with the whole community’ (</w:t>
      </w:r>
      <w:r w:rsidR="00615C21">
        <w:rPr>
          <w:i/>
        </w:rPr>
        <w:t xml:space="preserve">Pakistan </w:t>
      </w:r>
      <w:r w:rsidRPr="00C41CFC">
        <w:rPr>
          <w:i/>
        </w:rPr>
        <w:t xml:space="preserve">Participant) </w:t>
      </w:r>
    </w:p>
    <w:p w:rsidR="001D608F" w:rsidRDefault="001D608F" w:rsidP="00D13DA4">
      <w:pPr>
        <w:pStyle w:val="NoSpacing"/>
      </w:pPr>
    </w:p>
    <w:p w:rsidR="00003DF7" w:rsidRPr="00E459BE" w:rsidRDefault="008E606E" w:rsidP="00003DF7">
      <w:pPr>
        <w:pStyle w:val="Heading3"/>
        <w:rPr>
          <w:rFonts w:asciiTheme="minorHAnsi" w:hAnsiTheme="minorHAnsi"/>
          <w:color w:val="auto"/>
          <w:sz w:val="24"/>
        </w:rPr>
      </w:pPr>
      <w:bookmarkStart w:id="8" w:name="_Toc352225935"/>
      <w:r>
        <w:rPr>
          <w:rFonts w:asciiTheme="minorHAnsi" w:hAnsiTheme="minorHAnsi"/>
          <w:color w:val="auto"/>
          <w:sz w:val="24"/>
        </w:rPr>
        <w:lastRenderedPageBreak/>
        <w:t>3. Integrated A</w:t>
      </w:r>
      <w:r w:rsidR="00003DF7" w:rsidRPr="00E459BE">
        <w:rPr>
          <w:rFonts w:asciiTheme="minorHAnsi" w:hAnsiTheme="minorHAnsi"/>
          <w:color w:val="auto"/>
          <w:sz w:val="24"/>
        </w:rPr>
        <w:t>pproach</w:t>
      </w:r>
      <w:bookmarkEnd w:id="8"/>
      <w:r w:rsidR="00003DF7" w:rsidRPr="00E459BE">
        <w:rPr>
          <w:rFonts w:asciiTheme="minorHAnsi" w:hAnsiTheme="minorHAnsi"/>
          <w:color w:val="auto"/>
          <w:sz w:val="24"/>
        </w:rPr>
        <w:t xml:space="preserve"> </w:t>
      </w:r>
    </w:p>
    <w:p w:rsidR="009D0BA4" w:rsidRPr="00390758" w:rsidRDefault="00E459BE" w:rsidP="009D0BA4">
      <w:pPr>
        <w:pStyle w:val="NoSpacing"/>
      </w:pPr>
      <w:r>
        <w:t xml:space="preserve">In </w:t>
      </w:r>
      <w:r w:rsidR="00820677">
        <w:t>a third</w:t>
      </w:r>
      <w:r>
        <w:t xml:space="preserve"> work stream, </w:t>
      </w:r>
      <w:r w:rsidR="009D0BA4" w:rsidRPr="00390758">
        <w:t xml:space="preserve">HAI undertook to achieve this objective: </w:t>
      </w:r>
    </w:p>
    <w:p w:rsidR="00003DF7" w:rsidRPr="00003DF7" w:rsidRDefault="00003DF7" w:rsidP="00003DF7">
      <w:pPr>
        <w:pStyle w:val="NoSpacing"/>
        <w:rPr>
          <w:i/>
        </w:rPr>
      </w:pPr>
      <w:r w:rsidRPr="00003DF7">
        <w:rPr>
          <w:i/>
        </w:rPr>
        <w:t>A more integrated approach to cross-cutting issues, in particular age, gender, and disability</w:t>
      </w:r>
    </w:p>
    <w:p w:rsidR="00003DF7" w:rsidRPr="00003DF7" w:rsidRDefault="00003DF7" w:rsidP="00003DF7">
      <w:pPr>
        <w:pStyle w:val="NoSpacing"/>
      </w:pPr>
    </w:p>
    <w:p w:rsidR="00003DF7" w:rsidRPr="00003DF7" w:rsidRDefault="00E459BE" w:rsidP="00003DF7">
      <w:pPr>
        <w:pStyle w:val="NoSpacing"/>
      </w:pPr>
      <w:r>
        <w:t xml:space="preserve">It </w:t>
      </w:r>
      <w:r w:rsidR="009D0BA4">
        <w:t>proposed these i</w:t>
      </w:r>
      <w:r w:rsidR="00003DF7" w:rsidRPr="00003DF7">
        <w:t xml:space="preserve">ndicators: </w:t>
      </w:r>
    </w:p>
    <w:p w:rsidR="00003DF7" w:rsidRPr="00003DF7" w:rsidRDefault="00003DF7" w:rsidP="00D13862">
      <w:pPr>
        <w:pStyle w:val="NoSpacing"/>
        <w:numPr>
          <w:ilvl w:val="0"/>
          <w:numId w:val="3"/>
        </w:numPr>
      </w:pPr>
      <w:r w:rsidRPr="00003DF7">
        <w:t>By end 2012 IASC Gender Marker includes older women and men explicitly</w:t>
      </w:r>
    </w:p>
    <w:p w:rsidR="00003DF7" w:rsidRPr="00003DF7" w:rsidRDefault="00003DF7" w:rsidP="00D13862">
      <w:pPr>
        <w:pStyle w:val="NoSpacing"/>
        <w:numPr>
          <w:ilvl w:val="0"/>
          <w:numId w:val="3"/>
        </w:numPr>
      </w:pPr>
      <w:r w:rsidRPr="00003DF7">
        <w:t>HAI and HI made recommendations on inclusion of age and disability for global review of response</w:t>
      </w:r>
    </w:p>
    <w:p w:rsidR="00003DF7" w:rsidRPr="00003DF7" w:rsidRDefault="00003DF7" w:rsidP="00D13862">
      <w:pPr>
        <w:pStyle w:val="NoSpacing"/>
        <w:numPr>
          <w:ilvl w:val="0"/>
          <w:numId w:val="3"/>
        </w:numPr>
      </w:pPr>
      <w:r w:rsidRPr="00003DF7">
        <w:t>Formal agreement between HI and HAI for future collaboration on emergency response</w:t>
      </w:r>
    </w:p>
    <w:p w:rsidR="00003DF7" w:rsidRDefault="00003DF7" w:rsidP="00003DF7">
      <w:pPr>
        <w:pStyle w:val="NoSpacing"/>
      </w:pPr>
    </w:p>
    <w:p w:rsidR="00003DF7" w:rsidRPr="00003DF7" w:rsidRDefault="00003DF7" w:rsidP="00003DF7">
      <w:pPr>
        <w:pStyle w:val="NoSpacing"/>
        <w:rPr>
          <w:b/>
        </w:rPr>
      </w:pPr>
      <w:r w:rsidRPr="00003DF7">
        <w:rPr>
          <w:b/>
        </w:rPr>
        <w:t>3.1 Relevance</w:t>
      </w:r>
    </w:p>
    <w:p w:rsidR="00F11B0C" w:rsidRPr="00F11B0C" w:rsidRDefault="00F11B0C" w:rsidP="005C3A36">
      <w:pPr>
        <w:pStyle w:val="NoSpacing"/>
      </w:pPr>
      <w:r w:rsidRPr="00F11B0C">
        <w:t xml:space="preserve">Promoting a more integrated approach to cross-cutting issues is consistent with the project’s </w:t>
      </w:r>
      <w:r w:rsidR="006B1558">
        <w:t>objective to increase capacity</w:t>
      </w:r>
      <w:r>
        <w:t xml:space="preserve">, and with </w:t>
      </w:r>
      <w:r w:rsidRPr="00F11B0C">
        <w:t>IASC</w:t>
      </w:r>
      <w:r>
        <w:t>’s</w:t>
      </w:r>
      <w:r w:rsidRPr="00F11B0C">
        <w:t xml:space="preserve"> request</w:t>
      </w:r>
      <w:r>
        <w:t xml:space="preserve"> for </w:t>
      </w:r>
      <w:r w:rsidRPr="00F11B0C">
        <w:t xml:space="preserve">‘closer links’ among </w:t>
      </w:r>
      <w:r w:rsidR="006B1558" w:rsidRPr="00F11B0C">
        <w:t>cross-cutting issues</w:t>
      </w:r>
      <w:r w:rsidRPr="00F11B0C">
        <w:t xml:space="preserve">. </w:t>
      </w:r>
      <w:r w:rsidR="006B1558">
        <w:t>This is necessary because h</w:t>
      </w:r>
      <w:r>
        <w:t>umanitarian action still neglects diversity</w:t>
      </w:r>
      <w:r w:rsidR="005C3A36">
        <w:t xml:space="preserve">, and </w:t>
      </w:r>
      <w:r w:rsidR="00B1452C">
        <w:t xml:space="preserve">it </w:t>
      </w:r>
      <w:r w:rsidR="006B1558">
        <w:t xml:space="preserve">must </w:t>
      </w:r>
      <w:r w:rsidR="005C3A36">
        <w:t xml:space="preserve">be addressed jointly at the policy level. </w:t>
      </w:r>
      <w:r w:rsidR="00B95878">
        <w:t xml:space="preserve">Following </w:t>
      </w:r>
      <w:r w:rsidR="005C3A36">
        <w:t xml:space="preserve">achievements at the policy level, it may </w:t>
      </w:r>
      <w:r w:rsidR="00B95878">
        <w:t xml:space="preserve">now </w:t>
      </w:r>
      <w:r w:rsidR="005C3A36">
        <w:t xml:space="preserve">be relevant to push for inclusion </w:t>
      </w:r>
      <w:r w:rsidR="00B95878">
        <w:t xml:space="preserve">with </w:t>
      </w:r>
      <w:r w:rsidR="005C3A36">
        <w:t xml:space="preserve">NGOs together and/or to focus on the larger task of changing practice. </w:t>
      </w:r>
      <w:r>
        <w:t xml:space="preserve"> </w:t>
      </w:r>
    </w:p>
    <w:p w:rsidR="00EA4229" w:rsidRDefault="00EA4229" w:rsidP="00EA4229">
      <w:pPr>
        <w:pStyle w:val="NoSpacing"/>
      </w:pPr>
    </w:p>
    <w:p w:rsidR="00EA4229" w:rsidRDefault="00EA4229" w:rsidP="00EA4229">
      <w:pPr>
        <w:pStyle w:val="NoSpacing"/>
      </w:pPr>
      <w:r>
        <w:t xml:space="preserve">Promoting an integrated approach is relevant to the IASC, clusters, and advocacy partners. It is appropriate for </w:t>
      </w:r>
      <w:r w:rsidR="00385012">
        <w:t xml:space="preserve">strategic partners, such as </w:t>
      </w:r>
      <w:r>
        <w:t xml:space="preserve">HI, </w:t>
      </w:r>
      <w:r w:rsidR="00385012">
        <w:t xml:space="preserve">and humanitarian </w:t>
      </w:r>
      <w:r>
        <w:t xml:space="preserve">partners in Geneva, New York, and London. It is also appropriate for HAI, although its strategy makes little/no mention of an integrated approach. </w:t>
      </w:r>
    </w:p>
    <w:p w:rsidR="00F11B0C" w:rsidRDefault="00F11B0C" w:rsidP="00B8202A">
      <w:pPr>
        <w:pStyle w:val="NoSpacing"/>
      </w:pPr>
    </w:p>
    <w:p w:rsidR="00F11B0C" w:rsidRPr="00C12AED" w:rsidRDefault="00F11B0C" w:rsidP="006B1558">
      <w:pPr>
        <w:pStyle w:val="NoSpacing"/>
        <w:ind w:left="720"/>
        <w:rPr>
          <w:i/>
        </w:rPr>
      </w:pPr>
      <w:r w:rsidRPr="00C12AED">
        <w:rPr>
          <w:i/>
        </w:rPr>
        <w:t>‘HAI must walk the talk. “I know this because I’ve done it”</w:t>
      </w:r>
      <w:r w:rsidRPr="00C12AED">
        <w:rPr>
          <w:i/>
        </w:rPr>
        <w:sym w:font="Symbol" w:char="F0BE"/>
      </w:r>
      <w:r w:rsidRPr="00C12AED">
        <w:rPr>
          <w:i/>
        </w:rPr>
        <w:t>that’s why successful businessmen sell books about successful business.’ (Partner)</w:t>
      </w:r>
    </w:p>
    <w:p w:rsidR="00F11B0C" w:rsidRPr="00C12AED" w:rsidRDefault="00F11B0C" w:rsidP="006B1558">
      <w:pPr>
        <w:pStyle w:val="NoSpacing"/>
        <w:ind w:left="720"/>
        <w:rPr>
          <w:i/>
        </w:rPr>
      </w:pPr>
    </w:p>
    <w:p w:rsidR="00F11B0C" w:rsidRPr="00C12AED" w:rsidRDefault="00F11B0C" w:rsidP="006B1558">
      <w:pPr>
        <w:pStyle w:val="NoSpacing"/>
        <w:ind w:left="720"/>
        <w:rPr>
          <w:i/>
        </w:rPr>
      </w:pPr>
      <w:r w:rsidRPr="00C12AED">
        <w:rPr>
          <w:i/>
        </w:rPr>
        <w:t>‘the days are coming to an end when we in the business of cross-cutting issues can work in isolation of each other - and that goes for the gender community (too)!’ (Partner)</w:t>
      </w:r>
    </w:p>
    <w:p w:rsidR="00C12AED" w:rsidRDefault="00C12AED" w:rsidP="00003DF7">
      <w:pPr>
        <w:pStyle w:val="NoSpacing"/>
      </w:pPr>
    </w:p>
    <w:p w:rsidR="00003DF7" w:rsidRPr="00D31B6B" w:rsidRDefault="00003DF7" w:rsidP="00003DF7">
      <w:pPr>
        <w:pStyle w:val="NoSpacing"/>
        <w:rPr>
          <w:b/>
        </w:rPr>
      </w:pPr>
      <w:r>
        <w:rPr>
          <w:b/>
        </w:rPr>
        <w:t>3.</w:t>
      </w:r>
      <w:r w:rsidRPr="00D31B6B">
        <w:rPr>
          <w:b/>
        </w:rPr>
        <w:t>2 Effectiveness</w:t>
      </w:r>
    </w:p>
    <w:p w:rsidR="00D46C92" w:rsidRPr="00D46C92" w:rsidRDefault="00DF72A3" w:rsidP="00003DF7">
      <w:pPr>
        <w:pStyle w:val="NoSpacing"/>
      </w:pPr>
      <w:r>
        <w:t>W</w:t>
      </w:r>
      <w:r w:rsidR="00D41346" w:rsidRPr="00D46C92">
        <w:t>ork to integrate cross-cutting issues has been very effective. It has not yet changed the Gender Marker to include older men and women</w:t>
      </w:r>
      <w:r w:rsidR="005C4F36">
        <w:t xml:space="preserve">. </w:t>
      </w:r>
      <w:r>
        <w:t xml:space="preserve">However, </w:t>
      </w:r>
      <w:r w:rsidR="005C4F36">
        <w:t xml:space="preserve">contributions were made to a </w:t>
      </w:r>
      <w:r w:rsidR="005C4F36" w:rsidRPr="005C4F36">
        <w:t xml:space="preserve">global review of the humanitarian response, and </w:t>
      </w:r>
      <w:r w:rsidR="00D41346" w:rsidRPr="00D46C92">
        <w:t xml:space="preserve">much was achieved in relation to </w:t>
      </w:r>
      <w:r w:rsidR="00D46C92" w:rsidRPr="00D46C92">
        <w:t xml:space="preserve">the IASC sub working group on gender, clusters, OCHA/CAP, </w:t>
      </w:r>
      <w:proofErr w:type="spellStart"/>
      <w:r w:rsidR="00D46C92" w:rsidRPr="00D46C92">
        <w:t>GenCap</w:t>
      </w:r>
      <w:proofErr w:type="spellEnd"/>
      <w:r w:rsidR="00D46C92" w:rsidRPr="00D46C92">
        <w:t>, donors, UNHCR, the Gender Marker, and others. Most significantly, HAI ‘redefined</w:t>
      </w:r>
      <w:r>
        <w:t>’</w:t>
      </w:r>
      <w:r w:rsidR="00D46C92" w:rsidRPr="00D46C92">
        <w:t xml:space="preserve"> age and gender as the </w:t>
      </w:r>
      <w:r>
        <w:t>‘</w:t>
      </w:r>
      <w:r w:rsidR="00D46C92" w:rsidRPr="00D46C92">
        <w:t xml:space="preserve">universal determinants of vulnerability’ in a draft framework document. </w:t>
      </w:r>
    </w:p>
    <w:p w:rsidR="00D46C92" w:rsidRPr="00D46C92" w:rsidRDefault="00D46C92" w:rsidP="00003DF7">
      <w:pPr>
        <w:pStyle w:val="NoSpacing"/>
      </w:pPr>
    </w:p>
    <w:p w:rsidR="00D46C92" w:rsidRPr="00D46C92" w:rsidRDefault="00D46C92" w:rsidP="00D46C92">
      <w:pPr>
        <w:spacing w:after="0" w:line="240" w:lineRule="auto"/>
      </w:pPr>
      <w:r w:rsidRPr="00D46C92">
        <w:t xml:space="preserve">An important strategic relationship was agreed </w:t>
      </w:r>
      <w:r w:rsidR="00DF72A3" w:rsidRPr="00D46C92">
        <w:t xml:space="preserve">and </w:t>
      </w:r>
      <w:r w:rsidR="00DF72A3">
        <w:t xml:space="preserve">a </w:t>
      </w:r>
      <w:r w:rsidR="00DF72A3" w:rsidRPr="00D46C92">
        <w:t xml:space="preserve">detailed </w:t>
      </w:r>
      <w:proofErr w:type="spellStart"/>
      <w:r w:rsidR="00DF72A3" w:rsidRPr="00D46C92">
        <w:t>workplan</w:t>
      </w:r>
      <w:proofErr w:type="spellEnd"/>
      <w:r w:rsidR="00DF72A3" w:rsidRPr="00D46C92">
        <w:t xml:space="preserve"> </w:t>
      </w:r>
      <w:r w:rsidR="00DF72A3">
        <w:t xml:space="preserve">is </w:t>
      </w:r>
      <w:r w:rsidR="00DF72A3" w:rsidRPr="00D46C92">
        <w:t xml:space="preserve">developed </w:t>
      </w:r>
      <w:r w:rsidRPr="00D46C92">
        <w:t>with HI,</w:t>
      </w:r>
      <w:r w:rsidR="00DF72A3">
        <w:t xml:space="preserve"> which works for the inclusion of people with disabilities. </w:t>
      </w:r>
      <w:r>
        <w:t>HAI also worked effectively with UNFPA</w:t>
      </w:r>
      <w:r w:rsidR="00DF72A3">
        <w:t>, which seeks the inclusion of youths and adolescents</w:t>
      </w:r>
      <w:r>
        <w:t xml:space="preserve">. </w:t>
      </w:r>
    </w:p>
    <w:p w:rsidR="00D46C92" w:rsidRPr="00D46C92" w:rsidRDefault="00D46C92" w:rsidP="00003DF7">
      <w:pPr>
        <w:pStyle w:val="NoSpacing"/>
      </w:pPr>
    </w:p>
    <w:p w:rsidR="00D46C92" w:rsidRPr="00D46C92" w:rsidRDefault="00D46C92" w:rsidP="00003DF7">
      <w:pPr>
        <w:pStyle w:val="NoSpacing"/>
      </w:pPr>
      <w:r w:rsidRPr="00D46C92">
        <w:t>This work was relatively cost-effective</w:t>
      </w:r>
      <w:r w:rsidR="00DF72A3">
        <w:t xml:space="preserve"> (compared to </w:t>
      </w:r>
      <w:r w:rsidR="003E6EBE">
        <w:t xml:space="preserve">equivalent </w:t>
      </w:r>
      <w:r w:rsidR="00DF72A3">
        <w:t xml:space="preserve">UN </w:t>
      </w:r>
      <w:r w:rsidR="003E6EBE">
        <w:t xml:space="preserve">staffing </w:t>
      </w:r>
      <w:r w:rsidR="00DF72A3">
        <w:t>costs)</w:t>
      </w:r>
      <w:r w:rsidRPr="00D46C92">
        <w:t xml:space="preserve">, especially if integration has been as well advanced as expected. Looking ahead, </w:t>
      </w:r>
      <w:r w:rsidR="00DF72A3">
        <w:t>HAI’s</w:t>
      </w:r>
      <w:r w:rsidRPr="00D46C92">
        <w:t xml:space="preserve"> humanitarian advisor should remain in Geneva to see this process to completion, and ensure gains are consolidated. </w:t>
      </w:r>
    </w:p>
    <w:p w:rsidR="00B95878" w:rsidRPr="00003DF7" w:rsidRDefault="00B95878" w:rsidP="00B95878">
      <w:pPr>
        <w:pStyle w:val="NoSpacing"/>
      </w:pPr>
    </w:p>
    <w:p w:rsidR="00B95878" w:rsidRPr="00003DF7" w:rsidRDefault="00B95878" w:rsidP="00DF72A3">
      <w:pPr>
        <w:pStyle w:val="NoSpacing"/>
        <w:ind w:left="720"/>
        <w:rPr>
          <w:i/>
        </w:rPr>
      </w:pPr>
      <w:r>
        <w:rPr>
          <w:i/>
        </w:rPr>
        <w:t>‘</w:t>
      </w:r>
      <w:r w:rsidRPr="00003DF7">
        <w:rPr>
          <w:i/>
        </w:rPr>
        <w:t>[HAI in Geneva] is creating space for age in gender mainstreaming</w:t>
      </w:r>
      <w:r>
        <w:rPr>
          <w:i/>
        </w:rPr>
        <w:t>’</w:t>
      </w:r>
      <w:r w:rsidRPr="00003DF7">
        <w:rPr>
          <w:i/>
        </w:rPr>
        <w:t xml:space="preserve"> (HAI implementer)</w:t>
      </w:r>
    </w:p>
    <w:p w:rsidR="00B95878" w:rsidRDefault="00B95878" w:rsidP="00003DF7">
      <w:pPr>
        <w:pStyle w:val="NoSpacing"/>
        <w:rPr>
          <w:b/>
        </w:rPr>
      </w:pPr>
    </w:p>
    <w:p w:rsidR="00003DF7" w:rsidRPr="00A542D5" w:rsidRDefault="00003DF7" w:rsidP="00003DF7">
      <w:pPr>
        <w:pStyle w:val="NoSpacing"/>
        <w:rPr>
          <w:b/>
        </w:rPr>
      </w:pPr>
      <w:r>
        <w:rPr>
          <w:b/>
        </w:rPr>
        <w:t>3.</w:t>
      </w:r>
      <w:r w:rsidRPr="00A542D5">
        <w:rPr>
          <w:b/>
        </w:rPr>
        <w:t>3 Outcomes</w:t>
      </w:r>
    </w:p>
    <w:p w:rsidR="001175F8" w:rsidRDefault="001175F8" w:rsidP="00003DF7">
      <w:pPr>
        <w:pStyle w:val="NoSpacing"/>
      </w:pPr>
      <w:r>
        <w:t>HAI’s work to increase integration among cross-cutting issues contributed to a range of outcomes. It laid the foundation for a major policy development in support of integration, by recognizing gender and age as ‘universal determinants’ of vulnerability in the IASC sub-working group on gender. It contributed to a range of other important policy developments in favour of integration</w:t>
      </w:r>
      <w:r w:rsidR="00585F5D">
        <w:t xml:space="preserve">, notably in the IASC/SWG, Global Protection Cluster, UNHCR, </w:t>
      </w:r>
      <w:proofErr w:type="spellStart"/>
      <w:r w:rsidR="00585F5D">
        <w:t>DfID</w:t>
      </w:r>
      <w:proofErr w:type="spellEnd"/>
      <w:r w:rsidR="00585F5D">
        <w:t>, and ICRC</w:t>
      </w:r>
      <w:r>
        <w:t>. It also increased awareness about older people among humanitarian policy makers</w:t>
      </w:r>
      <w:r w:rsidR="00585F5D">
        <w:t xml:space="preserve">, notably in </w:t>
      </w:r>
      <w:proofErr w:type="spellStart"/>
      <w:r w:rsidR="00585F5D">
        <w:t>GenCap</w:t>
      </w:r>
      <w:proofErr w:type="spellEnd"/>
      <w:r w:rsidR="00585F5D">
        <w:t>, OCHA/CAP, global Clusters, and the IDMC</w:t>
      </w:r>
      <w:r>
        <w:t xml:space="preserve">. </w:t>
      </w:r>
    </w:p>
    <w:p w:rsidR="001175F8" w:rsidRDefault="001175F8" w:rsidP="00003DF7">
      <w:pPr>
        <w:pStyle w:val="NoSpacing"/>
      </w:pPr>
    </w:p>
    <w:p w:rsidR="00D46C92" w:rsidRDefault="00BC09C9" w:rsidP="00D46C92">
      <w:pPr>
        <w:pStyle w:val="NoSpacing"/>
      </w:pPr>
      <w:r>
        <w:t>Looking ahead,</w:t>
      </w:r>
      <w:r w:rsidR="001175F8">
        <w:t xml:space="preserve"> </w:t>
      </w:r>
      <w:r>
        <w:t xml:space="preserve">important </w:t>
      </w:r>
      <w:r w:rsidRPr="00003DF7">
        <w:t xml:space="preserve">further steps </w:t>
      </w:r>
      <w:r>
        <w:t xml:space="preserve">are needed to </w:t>
      </w:r>
      <w:r w:rsidRPr="00003DF7">
        <w:t>integrat</w:t>
      </w:r>
      <w:r>
        <w:t>e</w:t>
      </w:r>
      <w:r w:rsidRPr="00003DF7">
        <w:t xml:space="preserve"> cross-cutting issues</w:t>
      </w:r>
      <w:r>
        <w:t>. All global clusters need to mainstream gender, age, and disability in policies and guidelines; policy changes need to be implemented</w:t>
      </w:r>
      <w:r w:rsidR="00585F5D" w:rsidRPr="00585F5D">
        <w:t xml:space="preserve"> </w:t>
      </w:r>
      <w:r w:rsidR="00585F5D">
        <w:t xml:space="preserve">in the field, </w:t>
      </w:r>
      <w:r>
        <w:t xml:space="preserve">often </w:t>
      </w:r>
      <w:r w:rsidR="00585F5D">
        <w:t xml:space="preserve">as </w:t>
      </w:r>
      <w:r>
        <w:t xml:space="preserve">simple changes to practice; responsibility for cross-cutting issues needs to be assumed by IASC, OCHA, and HCs. HAI and its advocacy partners could develop joint initiatives in advocacy and practice to support mainstreaming, and a people-centred approach.   </w:t>
      </w:r>
    </w:p>
    <w:p w:rsidR="00D46C92" w:rsidRPr="00003DF7" w:rsidRDefault="00D46C92" w:rsidP="00D46C92">
      <w:pPr>
        <w:pStyle w:val="NoSpacing"/>
      </w:pPr>
    </w:p>
    <w:p w:rsidR="00D46C92" w:rsidRPr="00063197" w:rsidRDefault="00BC09C9" w:rsidP="00585F5D">
      <w:pPr>
        <w:pStyle w:val="NoSpacing"/>
        <w:ind w:left="720"/>
        <w:rPr>
          <w:i/>
        </w:rPr>
      </w:pPr>
      <w:r w:rsidRPr="00063197">
        <w:rPr>
          <w:i/>
        </w:rPr>
        <w:t xml:space="preserve"> </w:t>
      </w:r>
      <w:r w:rsidR="00D46C92" w:rsidRPr="00063197">
        <w:rPr>
          <w:i/>
        </w:rPr>
        <w:t>‘The evolution of the ICRC approach towards addressing the needs of disabled and older people has been possibly influenced by the regular and meaningful dial</w:t>
      </w:r>
      <w:r w:rsidR="000F7B9E">
        <w:rPr>
          <w:i/>
        </w:rPr>
        <w:t xml:space="preserve">ogue between </w:t>
      </w:r>
      <w:proofErr w:type="spellStart"/>
      <w:r w:rsidR="000F7B9E">
        <w:rPr>
          <w:i/>
        </w:rPr>
        <w:t>HelpAge</w:t>
      </w:r>
      <w:proofErr w:type="spellEnd"/>
      <w:r w:rsidR="000F7B9E">
        <w:rPr>
          <w:i/>
        </w:rPr>
        <w:t xml:space="preserve"> and ICRC.’</w:t>
      </w:r>
      <w:r w:rsidR="00D46C92" w:rsidRPr="00063197">
        <w:rPr>
          <w:i/>
        </w:rPr>
        <w:t xml:space="preserve"> (Partner)</w:t>
      </w:r>
    </w:p>
    <w:p w:rsidR="00D13862" w:rsidRDefault="00D13862">
      <w:r>
        <w:br w:type="page"/>
      </w:r>
    </w:p>
    <w:p w:rsidR="00941231" w:rsidRDefault="001A72EF" w:rsidP="001A72EF">
      <w:pPr>
        <w:pStyle w:val="Heading1"/>
        <w:rPr>
          <w:color w:val="auto"/>
        </w:rPr>
      </w:pPr>
      <w:bookmarkStart w:id="9" w:name="_Toc352225936"/>
      <w:r w:rsidRPr="001A72EF">
        <w:rPr>
          <w:color w:val="auto"/>
        </w:rPr>
        <w:lastRenderedPageBreak/>
        <w:t>Conclusions and Recommendations</w:t>
      </w:r>
      <w:bookmarkEnd w:id="9"/>
      <w:r w:rsidRPr="001A72EF">
        <w:rPr>
          <w:color w:val="auto"/>
        </w:rPr>
        <w:t xml:space="preserve"> </w:t>
      </w:r>
    </w:p>
    <w:p w:rsidR="00941231" w:rsidRDefault="005511C0" w:rsidP="00941231">
      <w:pPr>
        <w:pStyle w:val="NoSpacing"/>
      </w:pPr>
      <w:r>
        <w:t xml:space="preserve">This section outlines conclusions and recommendations for HAI and ECHO. </w:t>
      </w:r>
    </w:p>
    <w:p w:rsidR="005511C0" w:rsidRDefault="005511C0" w:rsidP="00941231">
      <w:pPr>
        <w:pStyle w:val="NoSpacing"/>
      </w:pPr>
    </w:p>
    <w:p w:rsidR="00E61109" w:rsidRPr="004C7A7C" w:rsidRDefault="00E61109" w:rsidP="00493997">
      <w:pPr>
        <w:pStyle w:val="NoSpacing"/>
        <w:numPr>
          <w:ilvl w:val="0"/>
          <w:numId w:val="18"/>
        </w:numPr>
        <w:rPr>
          <w:b/>
        </w:rPr>
      </w:pPr>
      <w:r w:rsidRPr="004C7A7C">
        <w:rPr>
          <w:b/>
        </w:rPr>
        <w:t>Training</w:t>
      </w:r>
    </w:p>
    <w:p w:rsidR="00493997" w:rsidRPr="00493997" w:rsidRDefault="00493997" w:rsidP="00493997">
      <w:pPr>
        <w:pStyle w:val="NoSpacing"/>
      </w:pPr>
      <w:r w:rsidRPr="00493997">
        <w:t xml:space="preserve">HOPE training responds to requirements and demands from diverse humanitarian and development organizations at different levels, including HAI field offices, which seek basic sensitization to the needs of older people in disasters. Tested in eight locations, the project’s training activities have built awareness and willingness among participants, thanks to the trainer’s competencies, the quality of the training package, and the initial willingness of participants. It has generated numerous requests for more training, and multiple requests for technical advice from participants, as well as some indications of specific changes made to policies and practices in DRC and Pakistan. </w:t>
      </w:r>
    </w:p>
    <w:p w:rsidR="00493997" w:rsidRPr="00493997" w:rsidRDefault="00493997" w:rsidP="00493997">
      <w:pPr>
        <w:pStyle w:val="NoSpacing"/>
      </w:pPr>
    </w:p>
    <w:p w:rsidR="00493997" w:rsidRPr="00493997" w:rsidRDefault="00493997" w:rsidP="00493997">
      <w:pPr>
        <w:pStyle w:val="NoSpacing"/>
      </w:pPr>
      <w:r w:rsidRPr="00493997">
        <w:t xml:space="preserve">Looking ahead, </w:t>
      </w:r>
      <w:r w:rsidRPr="00493997">
        <w:rPr>
          <w:bCs/>
        </w:rPr>
        <w:t xml:space="preserve">HAI </w:t>
      </w:r>
      <w:r w:rsidR="007C55C5">
        <w:rPr>
          <w:bCs/>
        </w:rPr>
        <w:t xml:space="preserve">should </w:t>
      </w:r>
      <w:r w:rsidRPr="00493997">
        <w:rPr>
          <w:bCs/>
        </w:rPr>
        <w:t xml:space="preserve">build on this success, by investing in and fundraising for further training. </w:t>
      </w:r>
      <w:r w:rsidR="007C55C5">
        <w:rPr>
          <w:bCs/>
        </w:rPr>
        <w:t xml:space="preserve">In so doing </w:t>
      </w:r>
      <w:r w:rsidRPr="00493997">
        <w:rPr>
          <w:bCs/>
        </w:rPr>
        <w:t xml:space="preserve">it must address the following challenges:  </w:t>
      </w:r>
    </w:p>
    <w:p w:rsidR="00493997" w:rsidRPr="00493997" w:rsidRDefault="00AF7FC3" w:rsidP="00493997">
      <w:pPr>
        <w:pStyle w:val="NoSpacing"/>
        <w:numPr>
          <w:ilvl w:val="0"/>
          <w:numId w:val="30"/>
        </w:numPr>
      </w:pPr>
      <w:r w:rsidRPr="00493997">
        <w:t xml:space="preserve">Training </w:t>
      </w:r>
      <w:r w:rsidR="00493997" w:rsidRPr="00493997">
        <w:t>should</w:t>
      </w:r>
      <w:r w:rsidRPr="00493997">
        <w:t xml:space="preserve"> </w:t>
      </w:r>
      <w:r w:rsidR="00493997" w:rsidRPr="00493997">
        <w:t>aim</w:t>
      </w:r>
      <w:r w:rsidRPr="00493997">
        <w:t xml:space="preserve"> </w:t>
      </w:r>
      <w:r w:rsidR="00493997" w:rsidRPr="00493997">
        <w:t xml:space="preserve">to </w:t>
      </w:r>
      <w:r w:rsidRPr="00493997">
        <w:t>chang</w:t>
      </w:r>
      <w:r w:rsidR="00493997" w:rsidRPr="00493997">
        <w:t>e</w:t>
      </w:r>
      <w:r w:rsidRPr="00493997">
        <w:t xml:space="preserve"> the </w:t>
      </w:r>
      <w:r w:rsidR="00493997" w:rsidRPr="00493997">
        <w:t xml:space="preserve">larger </w:t>
      </w:r>
      <w:r w:rsidRPr="00493997">
        <w:t xml:space="preserve">system. </w:t>
      </w:r>
      <w:r w:rsidR="00493997" w:rsidRPr="00493997">
        <w:t>This will likely require r</w:t>
      </w:r>
      <w:r w:rsidRPr="00493997">
        <w:t>eaching a much larger humanitarian community</w:t>
      </w:r>
      <w:r w:rsidR="00493997" w:rsidRPr="00493997">
        <w:t xml:space="preserve">, through </w:t>
      </w:r>
      <w:r w:rsidRPr="00493997">
        <w:t xml:space="preserve">training of trainers, internal training for organizations, working through external training mechanisms (e.g. SPHERE, </w:t>
      </w:r>
      <w:proofErr w:type="spellStart"/>
      <w:r w:rsidRPr="00493997">
        <w:t>RedR</w:t>
      </w:r>
      <w:proofErr w:type="spellEnd"/>
      <w:r w:rsidRPr="00493997">
        <w:t>), engagement with quality initiatives (e.g. JSI), customized online provision, and</w:t>
      </w:r>
      <w:r w:rsidR="00493997" w:rsidRPr="00493997">
        <w:t>/or</w:t>
      </w:r>
      <w:r w:rsidRPr="00493997">
        <w:t xml:space="preserve"> cultivation of a community of practice. HAI’s separate training activities will need to add value in relation to </w:t>
      </w:r>
      <w:r w:rsidR="00B173F2">
        <w:t>existing</w:t>
      </w:r>
      <w:r w:rsidRPr="00493997">
        <w:t xml:space="preserve"> mechanisms.  </w:t>
      </w:r>
    </w:p>
    <w:p w:rsidR="00493997" w:rsidRPr="00493997" w:rsidRDefault="00493997" w:rsidP="00493997">
      <w:pPr>
        <w:pStyle w:val="NoSpacing"/>
        <w:numPr>
          <w:ilvl w:val="0"/>
          <w:numId w:val="30"/>
        </w:numPr>
      </w:pPr>
      <w:r w:rsidRPr="00493997">
        <w:t xml:space="preserve">Training should be targeted strategically. HAI may seek to make the training self-funding to ensure it is adequately resourced, but it must target the organizations and actors most able to make the humanitarian response more inclusive at global and/or at country level, and avoid the risk of providing training according to a demand-driven </w:t>
      </w:r>
      <w:r w:rsidR="007E379A">
        <w:t xml:space="preserve">or </w:t>
      </w:r>
      <w:r w:rsidRPr="00493997">
        <w:t xml:space="preserve">commercial dynamic. </w:t>
      </w:r>
    </w:p>
    <w:p w:rsidR="00493997" w:rsidRPr="00493997" w:rsidRDefault="00493997" w:rsidP="00493997">
      <w:pPr>
        <w:pStyle w:val="NoSpacing"/>
        <w:numPr>
          <w:ilvl w:val="0"/>
          <w:numId w:val="30"/>
        </w:numPr>
      </w:pPr>
      <w:r w:rsidRPr="00493997">
        <w:t xml:space="preserve">Training should follow up with participants. HAI will increase the likely impact of the training by following </w:t>
      </w:r>
      <w:r w:rsidR="007E379A">
        <w:t xml:space="preserve">up </w:t>
      </w:r>
      <w:r w:rsidRPr="00493997">
        <w:t xml:space="preserve">on Personal Action Plans (PAPs) made in training sessions. By following up </w:t>
      </w:r>
      <w:r w:rsidR="007E379A" w:rsidRPr="00493997">
        <w:t xml:space="preserve">systematically </w:t>
      </w:r>
      <w:r w:rsidRPr="00493997">
        <w:t xml:space="preserve">with individuals and organizations, HAI may monitor outcomes, learn from experience, and assist with overcoming barriers.  </w:t>
      </w:r>
    </w:p>
    <w:p w:rsidR="00493997" w:rsidRPr="00493997" w:rsidRDefault="00493997" w:rsidP="00493997">
      <w:pPr>
        <w:pStyle w:val="NoSpacing"/>
        <w:numPr>
          <w:ilvl w:val="0"/>
          <w:numId w:val="30"/>
        </w:numPr>
      </w:pPr>
      <w:r w:rsidRPr="00493997">
        <w:t xml:space="preserve">Training provision should maintain quality. Training provision and materials will need to evolve to meet more diverse and specific needs, </w:t>
      </w:r>
      <w:r w:rsidR="00D95846">
        <w:t>increase</w:t>
      </w:r>
      <w:r w:rsidRPr="00493997">
        <w:t xml:space="preserve"> gender and disability aspects, integrate HAI’s technical guidance, and adapt to different regional, national and local contexts. HAI will need to </w:t>
      </w:r>
      <w:r w:rsidR="001D3595">
        <w:t>ensure</w:t>
      </w:r>
      <w:r w:rsidRPr="00493997">
        <w:t xml:space="preserve"> the quality of all HOPE Training.      </w:t>
      </w:r>
    </w:p>
    <w:p w:rsidR="00493997" w:rsidRPr="00941231" w:rsidRDefault="00493997" w:rsidP="003A19B8">
      <w:pPr>
        <w:pStyle w:val="NoSpacing"/>
      </w:pPr>
    </w:p>
    <w:p w:rsidR="00B36004" w:rsidRPr="00976DAD" w:rsidRDefault="00B36004" w:rsidP="00493997">
      <w:pPr>
        <w:pStyle w:val="NoSpacing"/>
        <w:numPr>
          <w:ilvl w:val="0"/>
          <w:numId w:val="18"/>
        </w:numPr>
        <w:rPr>
          <w:b/>
        </w:rPr>
      </w:pPr>
      <w:r w:rsidRPr="00976DAD">
        <w:rPr>
          <w:b/>
        </w:rPr>
        <w:t xml:space="preserve">Technical </w:t>
      </w:r>
      <w:r w:rsidR="00E61109" w:rsidRPr="00976DAD">
        <w:rPr>
          <w:b/>
        </w:rPr>
        <w:t>Guid</w:t>
      </w:r>
      <w:r w:rsidR="00976DAD">
        <w:rPr>
          <w:b/>
        </w:rPr>
        <w:t>ance</w:t>
      </w:r>
    </w:p>
    <w:p w:rsidR="00976DAD" w:rsidRDefault="00976DAD" w:rsidP="00976DAD">
      <w:pPr>
        <w:pStyle w:val="NoSpacing"/>
      </w:pPr>
      <w:r>
        <w:t xml:space="preserve">The publication of technical guidance on inclusion of older people in humanitarian programmes could contribute to change in HAI programmes and among willing partners. By December 2012, HAI effectively produced and began disseminating new technical guidelines on health, livelihoods, and needs assessments. The guidelines reflect a strengthening of HAI’s global technical expertise to support programmes, but it is too early to see </w:t>
      </w:r>
      <w:r w:rsidR="00B173F2">
        <w:t>their</w:t>
      </w:r>
      <w:r>
        <w:t xml:space="preserve"> outcomes.</w:t>
      </w:r>
    </w:p>
    <w:p w:rsidR="00976DAD" w:rsidRDefault="00976DAD" w:rsidP="00976DAD">
      <w:pPr>
        <w:pStyle w:val="NoSpacing"/>
      </w:pPr>
    </w:p>
    <w:p w:rsidR="00976DAD" w:rsidRDefault="00976DAD" w:rsidP="00976DAD">
      <w:pPr>
        <w:pStyle w:val="NoSpacing"/>
      </w:pPr>
      <w:r>
        <w:t xml:space="preserve">HAI should continue to develop and share technical guidance, bearing in mind the following challenges:  </w:t>
      </w:r>
    </w:p>
    <w:p w:rsidR="00976DAD" w:rsidRDefault="00976DAD" w:rsidP="00976DAD">
      <w:pPr>
        <w:pStyle w:val="NoSpacing"/>
        <w:numPr>
          <w:ilvl w:val="0"/>
          <w:numId w:val="31"/>
        </w:numPr>
      </w:pPr>
      <w:r>
        <w:t>Guidance should be targeted at humanitarian actors who are already aware and willing to include older people, and therefore need</w:t>
      </w:r>
      <w:r w:rsidR="00B173F2">
        <w:t xml:space="preserve"> practical competencies in </w:t>
      </w:r>
      <w:r>
        <w:t>relevant sector</w:t>
      </w:r>
      <w:r w:rsidR="00B173F2">
        <w:t>s</w:t>
      </w:r>
      <w:r>
        <w:t xml:space="preserve"> to implement changes that include older people.  </w:t>
      </w:r>
    </w:p>
    <w:p w:rsidR="00976DAD" w:rsidRDefault="00976DAD" w:rsidP="00976DAD">
      <w:pPr>
        <w:pStyle w:val="NoSpacing"/>
        <w:numPr>
          <w:ilvl w:val="0"/>
          <w:numId w:val="31"/>
        </w:numPr>
      </w:pPr>
      <w:r>
        <w:t xml:space="preserve">Guidance should be embedded in flagship guidelines and tools of all global clusters, large agencies, and regional mechanisms (such as ASEAN).  </w:t>
      </w:r>
    </w:p>
    <w:p w:rsidR="00976DAD" w:rsidRDefault="00976DAD" w:rsidP="00976DAD">
      <w:pPr>
        <w:pStyle w:val="NoSpacing"/>
        <w:numPr>
          <w:ilvl w:val="0"/>
          <w:numId w:val="31"/>
        </w:numPr>
      </w:pPr>
      <w:r>
        <w:t xml:space="preserve">Guidance should be disseminated at field level and translated into programming. To that end, it should be integrated into HAI and other training, shared with communities of practices, supported by further facilitation and technical training. </w:t>
      </w:r>
    </w:p>
    <w:p w:rsidR="00976DAD" w:rsidRDefault="00976DAD" w:rsidP="00976DAD">
      <w:pPr>
        <w:pStyle w:val="NoSpacing"/>
        <w:numPr>
          <w:ilvl w:val="0"/>
          <w:numId w:val="31"/>
        </w:numPr>
      </w:pPr>
      <w:r>
        <w:t>Guidance should be tracked</w:t>
      </w:r>
      <w:r w:rsidR="00B173F2">
        <w:t xml:space="preserve"> for utilization. I</w:t>
      </w:r>
      <w:r>
        <w:t>ts format, distribution, and utilization should be constantly monitored</w:t>
      </w:r>
      <w:r w:rsidR="007F2C47">
        <w:t>, reviewed,</w:t>
      </w:r>
      <w:r>
        <w:t xml:space="preserve"> and </w:t>
      </w:r>
      <w:r w:rsidR="007F2C47">
        <w:t>adapted if necessary</w:t>
      </w:r>
      <w:r>
        <w:t xml:space="preserve">.  </w:t>
      </w:r>
      <w:r>
        <w:rPr>
          <w:rFonts w:ascii="Calibri" w:hAnsi="Calibri" w:cs="Courier New"/>
          <w:lang w:eastAsia="en-GB"/>
        </w:rPr>
        <w:t xml:space="preserve"> </w:t>
      </w:r>
    </w:p>
    <w:p w:rsidR="00B36004" w:rsidRDefault="00B36004" w:rsidP="00B36004">
      <w:pPr>
        <w:pStyle w:val="NoSpacing"/>
      </w:pPr>
    </w:p>
    <w:p w:rsidR="00FB4344" w:rsidRPr="009C715B" w:rsidRDefault="00E61109" w:rsidP="00493997">
      <w:pPr>
        <w:pStyle w:val="NoSpacing"/>
        <w:numPr>
          <w:ilvl w:val="0"/>
          <w:numId w:val="18"/>
        </w:numPr>
        <w:rPr>
          <w:b/>
        </w:rPr>
      </w:pPr>
      <w:r w:rsidRPr="009C715B">
        <w:rPr>
          <w:b/>
        </w:rPr>
        <w:t>Policy</w:t>
      </w:r>
      <w:r w:rsidR="00B36004" w:rsidRPr="009C715B">
        <w:rPr>
          <w:b/>
        </w:rPr>
        <w:t xml:space="preserve"> Publications </w:t>
      </w:r>
    </w:p>
    <w:p w:rsidR="009C715B" w:rsidRPr="009C715B" w:rsidRDefault="009C715B" w:rsidP="009C715B">
      <w:pPr>
        <w:pStyle w:val="NoSpacing"/>
      </w:pPr>
      <w:r w:rsidRPr="009C715B">
        <w:t xml:space="preserve">Under this project, HAI produced two effective policy publications, which were both well received by donors and humanitarian agencies, and served to raise the profile of older people and </w:t>
      </w:r>
      <w:r w:rsidR="0086292F">
        <w:t xml:space="preserve">demonstrate </w:t>
      </w:r>
      <w:r w:rsidRPr="009C715B">
        <w:t xml:space="preserve">HAI’s expertise. </w:t>
      </w:r>
      <w:r w:rsidR="0086292F">
        <w:t>A</w:t>
      </w:r>
      <w:r w:rsidRPr="009C715B">
        <w:t xml:space="preserve"> policy report produced with IDMC on the displacement of older people, and the related article in the Forced Migration Review, helped to strengthen HAI’s advocacy engagement with UNHCR, ECHO, and agencies in East Africa and Sudan, as well as with Kenyan lawmakers. </w:t>
      </w:r>
      <w:proofErr w:type="gramStart"/>
      <w:r w:rsidRPr="009C715B">
        <w:t>The updated review of humanitarian financing for older people, this time includ</w:t>
      </w:r>
      <w:r w:rsidR="0086292F">
        <w:t>ing people with disabilities</w:t>
      </w:r>
      <w:r w:rsidRPr="009C715B">
        <w:t xml:space="preserve">, once again provided </w:t>
      </w:r>
      <w:r w:rsidR="0086292F">
        <w:t xml:space="preserve">rare </w:t>
      </w:r>
      <w:r w:rsidR="00237CD7">
        <w:t>powerful</w:t>
      </w:r>
      <w:r w:rsidRPr="009C715B">
        <w:t xml:space="preserve"> data on mainstreaming gaps, and continued to </w:t>
      </w:r>
      <w:r w:rsidR="00141E59">
        <w:t>influence</w:t>
      </w:r>
      <w:r w:rsidRPr="009C715B">
        <w:t xml:space="preserve"> diverse humanitarian policy makers, including </w:t>
      </w:r>
      <w:proofErr w:type="spellStart"/>
      <w:r w:rsidRPr="009C715B">
        <w:t>DfID</w:t>
      </w:r>
      <w:proofErr w:type="spellEnd"/>
      <w:r w:rsidRPr="009C715B">
        <w:t>.</w:t>
      </w:r>
      <w:proofErr w:type="gramEnd"/>
      <w:r w:rsidRPr="009C715B">
        <w:t xml:space="preserve"> </w:t>
      </w:r>
    </w:p>
    <w:p w:rsidR="009C715B" w:rsidRPr="009C715B" w:rsidRDefault="009C715B" w:rsidP="009C715B">
      <w:pPr>
        <w:pStyle w:val="NoSpacing"/>
      </w:pPr>
    </w:p>
    <w:p w:rsidR="009C715B" w:rsidRPr="009C715B" w:rsidRDefault="009C715B" w:rsidP="009C715B">
      <w:pPr>
        <w:pStyle w:val="NoSpacing"/>
      </w:pPr>
      <w:r w:rsidRPr="009C715B">
        <w:t xml:space="preserve">HAI could find it useful to produce </w:t>
      </w:r>
      <w:r w:rsidR="0086292F">
        <w:t xml:space="preserve">additional </w:t>
      </w:r>
      <w:r w:rsidRPr="009C715B">
        <w:t xml:space="preserve">effective policy publications that generate positive outcomes, and continue to monitor financing gaps.  However, it should address the following challenges: </w:t>
      </w:r>
    </w:p>
    <w:p w:rsidR="009C715B" w:rsidRDefault="009C715B" w:rsidP="009C715B">
      <w:pPr>
        <w:pStyle w:val="NoSpacing"/>
        <w:numPr>
          <w:ilvl w:val="0"/>
          <w:numId w:val="32"/>
        </w:numPr>
      </w:pPr>
      <w:r w:rsidRPr="009C715B">
        <w:t xml:space="preserve">Humanitarian </w:t>
      </w:r>
      <w:r w:rsidR="0086292F">
        <w:t>p</w:t>
      </w:r>
      <w:r w:rsidRPr="009C715B">
        <w:t xml:space="preserve">olicy </w:t>
      </w:r>
      <w:r w:rsidR="0086292F">
        <w:t>p</w:t>
      </w:r>
      <w:r w:rsidRPr="009C715B">
        <w:t xml:space="preserve">ublications should be </w:t>
      </w:r>
      <w:r w:rsidR="0086292F">
        <w:t xml:space="preserve">focused on </w:t>
      </w:r>
      <w:r w:rsidRPr="009C715B">
        <w:t xml:space="preserve">defined areas of humanitarian and development policy which most affect the survival of older people in disasters, whether these are financing and internal displacement or other thematic areas. HAI </w:t>
      </w:r>
      <w:r w:rsidR="0086292F">
        <w:t xml:space="preserve">could </w:t>
      </w:r>
      <w:r w:rsidRPr="009C715B">
        <w:t xml:space="preserve">benefit from always specifying which </w:t>
      </w:r>
      <w:r w:rsidR="0086292F">
        <w:t>‘</w:t>
      </w:r>
      <w:r w:rsidRPr="009C715B">
        <w:t>policy</w:t>
      </w:r>
      <w:r w:rsidR="0086292F">
        <w:t>’</w:t>
      </w:r>
      <w:r w:rsidRPr="009C715B">
        <w:t xml:space="preserve"> area </w:t>
      </w:r>
      <w:r w:rsidR="0086292F">
        <w:t xml:space="preserve">it is concerned with </w:t>
      </w:r>
      <w:r w:rsidRPr="009C715B">
        <w:t xml:space="preserve">and why it is important. </w:t>
      </w:r>
    </w:p>
    <w:p w:rsidR="00B36004" w:rsidRPr="009C715B" w:rsidRDefault="0086292F" w:rsidP="009C715B">
      <w:pPr>
        <w:pStyle w:val="NoSpacing"/>
        <w:numPr>
          <w:ilvl w:val="0"/>
          <w:numId w:val="32"/>
        </w:numPr>
      </w:pPr>
      <w:r>
        <w:t>Humanitarian policy w</w:t>
      </w:r>
      <w:r w:rsidR="009C715B" w:rsidRPr="009C715B">
        <w:t xml:space="preserve">ork could benefit from clarifying its </w:t>
      </w:r>
      <w:r>
        <w:t xml:space="preserve">overall </w:t>
      </w:r>
      <w:r w:rsidR="009C715B" w:rsidRPr="009C715B">
        <w:t xml:space="preserve">policy messages for this intervention, </w:t>
      </w:r>
      <w:r>
        <w:t xml:space="preserve">providing a </w:t>
      </w:r>
      <w:r w:rsidR="009C715B" w:rsidRPr="009C715B">
        <w:t>fram</w:t>
      </w:r>
      <w:r>
        <w:t xml:space="preserve">ework for </w:t>
      </w:r>
      <w:r w:rsidR="009C715B" w:rsidRPr="009C715B">
        <w:t xml:space="preserve">its </w:t>
      </w:r>
      <w:r>
        <w:t xml:space="preserve">work </w:t>
      </w:r>
      <w:r w:rsidR="009C715B" w:rsidRPr="009C715B">
        <w:t>on specific policy areas (</w:t>
      </w:r>
      <w:r>
        <w:t xml:space="preserve">i.e. </w:t>
      </w:r>
      <w:r w:rsidR="009C715B" w:rsidRPr="009C715B">
        <w:t xml:space="preserve">needs assessment and cross-cutting issues) and </w:t>
      </w:r>
      <w:r>
        <w:t xml:space="preserve">its multiple </w:t>
      </w:r>
      <w:r w:rsidR="009C715B" w:rsidRPr="009C715B">
        <w:t>practical interventions. HAI could restate the case for assisting older people in relation to: (</w:t>
      </w:r>
      <w:proofErr w:type="spellStart"/>
      <w:r w:rsidR="009C715B" w:rsidRPr="009C715B">
        <w:t>i</w:t>
      </w:r>
      <w:proofErr w:type="spellEnd"/>
      <w:r w:rsidR="009C715B" w:rsidRPr="009C715B">
        <w:t xml:space="preserve">) the main threats </w:t>
      </w:r>
      <w:r>
        <w:t xml:space="preserve">facing </w:t>
      </w:r>
      <w:r w:rsidR="009C715B" w:rsidRPr="009C715B">
        <w:t xml:space="preserve">older people in disasters, past and future; (ii) the challenges </w:t>
      </w:r>
      <w:r>
        <w:t xml:space="preserve">facing humanitarians in </w:t>
      </w:r>
      <w:r w:rsidR="009C715B" w:rsidRPr="009C715B">
        <w:t>meeting their needs; (iii) the main actions needed (by policy and practice actors) to strengthen the response; and (iv) the added value of HAI actions.</w:t>
      </w:r>
    </w:p>
    <w:p w:rsidR="009C715B" w:rsidRDefault="009C715B" w:rsidP="009C715B">
      <w:pPr>
        <w:pStyle w:val="NoSpacing"/>
      </w:pPr>
    </w:p>
    <w:p w:rsidR="00E61109" w:rsidRPr="003E100C" w:rsidRDefault="00663358" w:rsidP="00493997">
      <w:pPr>
        <w:pStyle w:val="NoSpacing"/>
        <w:numPr>
          <w:ilvl w:val="0"/>
          <w:numId w:val="18"/>
        </w:numPr>
        <w:rPr>
          <w:b/>
        </w:rPr>
      </w:pPr>
      <w:r>
        <w:rPr>
          <w:b/>
        </w:rPr>
        <w:t xml:space="preserve">Expert </w:t>
      </w:r>
      <w:r w:rsidR="00E61109" w:rsidRPr="003E100C">
        <w:rPr>
          <w:b/>
        </w:rPr>
        <w:t xml:space="preserve">Deployments </w:t>
      </w:r>
    </w:p>
    <w:p w:rsidR="003E100C" w:rsidRPr="003E100C" w:rsidRDefault="003E100C" w:rsidP="003E100C">
      <w:pPr>
        <w:pStyle w:val="NoSpacing"/>
      </w:pPr>
      <w:r w:rsidRPr="003E100C">
        <w:t>HAI’s direct deployments of experts to global clusters, arranged under this project (but funded separately), are a particularly effective way to build the system’s capacity. Experts thus contribute to particular responses and embed expertise in influential cluster guidelines and tools. HAI’s ability to deploy experts to the Global Protection Cluster and the Global Food Security Cluster has also depended on HAI’s approach: inclusive, constructive, practical, and appreciative</w:t>
      </w:r>
      <w:r w:rsidRPr="003E100C">
        <w:sym w:font="Symbol" w:char="F0BE"/>
      </w:r>
      <w:r w:rsidRPr="003E100C">
        <w:t xml:space="preserve">instead of campaigning. </w:t>
      </w:r>
    </w:p>
    <w:p w:rsidR="003E100C" w:rsidRPr="003E100C" w:rsidRDefault="003E100C" w:rsidP="003E100C">
      <w:pPr>
        <w:pStyle w:val="NoSpacing"/>
      </w:pPr>
    </w:p>
    <w:p w:rsidR="003E100C" w:rsidRPr="003E100C" w:rsidRDefault="003E100C" w:rsidP="003E100C">
      <w:pPr>
        <w:pStyle w:val="NoSpacing"/>
      </w:pPr>
      <w:r w:rsidRPr="003E100C">
        <w:t>Building on this success, HAI will seek to provide additional capacity to meet demand for</w:t>
      </w:r>
      <w:r w:rsidR="004C77EE">
        <w:t xml:space="preserve"> such deployments. I</w:t>
      </w:r>
      <w:r w:rsidRPr="003E100C">
        <w:t xml:space="preserve">t should consider the following challenges:  </w:t>
      </w:r>
    </w:p>
    <w:p w:rsidR="003E100C" w:rsidRPr="003E100C" w:rsidRDefault="003E100C" w:rsidP="003E100C">
      <w:pPr>
        <w:pStyle w:val="NoSpacing"/>
        <w:numPr>
          <w:ilvl w:val="0"/>
          <w:numId w:val="33"/>
        </w:numPr>
      </w:pPr>
      <w:r w:rsidRPr="003E100C">
        <w:t xml:space="preserve">Deployments should be targeted at </w:t>
      </w:r>
      <w:r w:rsidR="004C77EE">
        <w:t xml:space="preserve">all </w:t>
      </w:r>
      <w:r w:rsidRPr="003E100C">
        <w:t>relevant cluster</w:t>
      </w:r>
      <w:r w:rsidR="004C77EE">
        <w:t>s</w:t>
      </w:r>
      <w:r w:rsidRPr="003E100C">
        <w:t>, in order to shape a more inclusive system</w:t>
      </w:r>
      <w:r w:rsidR="004C77EE">
        <w:t xml:space="preserve"> in relation to </w:t>
      </w:r>
      <w:r w:rsidRPr="003E100C">
        <w:t>needs assessment, health, nutrition, food security, livelihoods, and/or protection. The</w:t>
      </w:r>
      <w:r w:rsidR="004C77EE">
        <w:t xml:space="preserve"> clusters </w:t>
      </w:r>
      <w:r w:rsidRPr="003E100C">
        <w:t xml:space="preserve">may be targeted by direct deployments, or via the Global Protection Cluster and its ‘transversal function’.  </w:t>
      </w:r>
    </w:p>
    <w:p w:rsidR="003E100C" w:rsidRPr="003E100C" w:rsidRDefault="003E100C" w:rsidP="003E100C">
      <w:pPr>
        <w:pStyle w:val="NoSpacing"/>
        <w:numPr>
          <w:ilvl w:val="0"/>
          <w:numId w:val="33"/>
        </w:numPr>
      </w:pPr>
      <w:r w:rsidRPr="003E100C">
        <w:t xml:space="preserve">Deployments should aim to maximize impact by offering combined expertise in gender, age, and disability; by </w:t>
      </w:r>
      <w:r w:rsidR="004C77EE">
        <w:t xml:space="preserve">offering </w:t>
      </w:r>
      <w:r w:rsidRPr="003E100C">
        <w:t>availab</w:t>
      </w:r>
      <w:r w:rsidR="004C77EE">
        <w:t xml:space="preserve">ility in concert with </w:t>
      </w:r>
      <w:r w:rsidRPr="003E100C">
        <w:t xml:space="preserve">existing standby mechanisms; and by deploying early in a crisis to </w:t>
      </w:r>
      <w:r w:rsidR="004C77EE">
        <w:t xml:space="preserve">better </w:t>
      </w:r>
      <w:r w:rsidRPr="003E100C">
        <w:t xml:space="preserve">shape the response.    </w:t>
      </w:r>
    </w:p>
    <w:p w:rsidR="003E100C" w:rsidRDefault="003E100C" w:rsidP="000E71A1">
      <w:pPr>
        <w:pStyle w:val="NoSpacing"/>
      </w:pPr>
    </w:p>
    <w:p w:rsidR="00E61109" w:rsidRPr="00F46744" w:rsidRDefault="00E61109" w:rsidP="00493997">
      <w:pPr>
        <w:pStyle w:val="NoSpacing"/>
        <w:numPr>
          <w:ilvl w:val="0"/>
          <w:numId w:val="18"/>
        </w:numPr>
        <w:rPr>
          <w:b/>
        </w:rPr>
      </w:pPr>
      <w:r w:rsidRPr="00F46744">
        <w:rPr>
          <w:b/>
        </w:rPr>
        <w:t xml:space="preserve">Needs Assessments </w:t>
      </w:r>
    </w:p>
    <w:p w:rsidR="00F46744" w:rsidRPr="00F46744" w:rsidRDefault="00F46744" w:rsidP="00F46744">
      <w:pPr>
        <w:pStyle w:val="NoSpacing"/>
      </w:pPr>
      <w:r w:rsidRPr="00F46744">
        <w:lastRenderedPageBreak/>
        <w:t xml:space="preserve">HAI produced technical guidelines on needs assessments, offering a way to accurately estimate the needs of older people using secondary data, sound assumptions, and few resources. It also enabled participants in the testing in four countries to conduct needs assessments, </w:t>
      </w:r>
      <w:r w:rsidR="006E59C4">
        <w:t>strengthened</w:t>
      </w:r>
      <w:r w:rsidRPr="00F46744">
        <w:t xml:space="preserve"> HAI</w:t>
      </w:r>
      <w:r w:rsidR="006E59C4">
        <w:t>’s</w:t>
      </w:r>
      <w:r w:rsidRPr="00F46744">
        <w:t xml:space="preserve"> </w:t>
      </w:r>
      <w:r w:rsidR="006E59C4">
        <w:t>advocacy (for its use)</w:t>
      </w:r>
      <w:r w:rsidRPr="00F46744">
        <w:t xml:space="preserve">, and contributed to evolutions in needs assessments among partners. In Pakistan, the methodology has been used by participants, enhanced the team’s reputation, and, significantly, enabled </w:t>
      </w:r>
      <w:r>
        <w:t>the team</w:t>
      </w:r>
      <w:r w:rsidRPr="00F46744">
        <w:t xml:space="preserve"> to access new funding streams.    </w:t>
      </w:r>
    </w:p>
    <w:p w:rsidR="00F46744" w:rsidRPr="00F46744" w:rsidRDefault="00F46744" w:rsidP="00F46744">
      <w:pPr>
        <w:pStyle w:val="NoSpacing"/>
      </w:pPr>
    </w:p>
    <w:p w:rsidR="00F46744" w:rsidRPr="00F46744" w:rsidRDefault="00F46744" w:rsidP="00F46744">
      <w:pPr>
        <w:pStyle w:val="NoSpacing"/>
      </w:pPr>
      <w:r w:rsidRPr="00F46744">
        <w:t>HAI aims to roll out its approach to needs assessments, providing specialist suppo</w:t>
      </w:r>
      <w:r w:rsidR="006E59C4">
        <w:t>rt where appropriate. I</w:t>
      </w:r>
      <w:r w:rsidRPr="00F46744">
        <w:t xml:space="preserve">t should address the following challenges: </w:t>
      </w:r>
    </w:p>
    <w:p w:rsidR="00F46744" w:rsidRPr="00F46744" w:rsidRDefault="00F46744" w:rsidP="00F46744">
      <w:pPr>
        <w:pStyle w:val="NoSpacing"/>
        <w:numPr>
          <w:ilvl w:val="0"/>
          <w:numId w:val="34"/>
        </w:numPr>
      </w:pPr>
      <w:r w:rsidRPr="00F46744">
        <w:t xml:space="preserve">Needs assessments and implementation of SADD should be carried out by HAI in its own programmes, enabling </w:t>
      </w:r>
      <w:r w:rsidR="0099035B">
        <w:t xml:space="preserve">it </w:t>
      </w:r>
      <w:r w:rsidRPr="00F46744">
        <w:t xml:space="preserve">to provide </w:t>
      </w:r>
      <w:r>
        <w:t xml:space="preserve">more effective </w:t>
      </w:r>
      <w:r w:rsidRPr="00F46744">
        <w:t xml:space="preserve">advice on good practice in this area. </w:t>
      </w:r>
    </w:p>
    <w:p w:rsidR="00F46744" w:rsidRPr="00F46744" w:rsidRDefault="00F46744" w:rsidP="00F46744">
      <w:pPr>
        <w:pStyle w:val="NoSpacing"/>
        <w:numPr>
          <w:ilvl w:val="0"/>
          <w:numId w:val="34"/>
        </w:numPr>
      </w:pPr>
      <w:r w:rsidRPr="00F46744">
        <w:t xml:space="preserve">Needs assessment practices could be strengthened with HAI and partners in four pilot countries. HAI could monitor and support the utilization of the approach by participants, and expand the approach to include other vulnerable groups—especially people with disabilities, recognizing that this may be more difficult. </w:t>
      </w:r>
    </w:p>
    <w:p w:rsidR="00F46744" w:rsidRPr="00F46744" w:rsidRDefault="00F46744" w:rsidP="00F46744">
      <w:pPr>
        <w:pStyle w:val="NoSpacing"/>
        <w:numPr>
          <w:ilvl w:val="0"/>
          <w:numId w:val="34"/>
        </w:numPr>
      </w:pPr>
      <w:r w:rsidRPr="00F46744">
        <w:t xml:space="preserve">Needs assessment and SADD policies </w:t>
      </w:r>
      <w:r>
        <w:t>and practices</w:t>
      </w:r>
      <w:r w:rsidR="00F45E3A">
        <w:t xml:space="preserve"> </w:t>
      </w:r>
      <w:r>
        <w:t>should</w:t>
      </w:r>
      <w:r w:rsidRPr="00F46744">
        <w:t xml:space="preserve"> be strengthened globally. HAI must continue to advocate for a system that effectively assesses the needs of older people in disasters, recognizing that agencies which collect SADD may not use it, and needs assessments remain only part of humanitarian decision-making.</w:t>
      </w:r>
      <w:r w:rsidR="0036020A">
        <w:t xml:space="preserve"> It </w:t>
      </w:r>
      <w:r w:rsidR="00AE6874">
        <w:t>could</w:t>
      </w:r>
      <w:r w:rsidR="0036020A">
        <w:t xml:space="preserve"> target donors and their funding guidelines as key drivers of change in this regard. </w:t>
      </w:r>
    </w:p>
    <w:p w:rsidR="00F46744" w:rsidRDefault="00F46744" w:rsidP="000E71A1">
      <w:pPr>
        <w:pStyle w:val="NoSpacing"/>
      </w:pPr>
    </w:p>
    <w:p w:rsidR="00E61109" w:rsidRPr="00541F06" w:rsidRDefault="00E61109" w:rsidP="00493997">
      <w:pPr>
        <w:pStyle w:val="NoSpacing"/>
        <w:numPr>
          <w:ilvl w:val="0"/>
          <w:numId w:val="18"/>
        </w:numPr>
        <w:rPr>
          <w:b/>
        </w:rPr>
      </w:pPr>
      <w:r w:rsidRPr="00541F06">
        <w:rPr>
          <w:b/>
        </w:rPr>
        <w:t>Integrat</w:t>
      </w:r>
      <w:r w:rsidR="00D02CF9">
        <w:rPr>
          <w:b/>
        </w:rPr>
        <w:t>ing</w:t>
      </w:r>
      <w:r w:rsidR="0058009F">
        <w:rPr>
          <w:b/>
        </w:rPr>
        <w:t xml:space="preserve"> Issues</w:t>
      </w:r>
    </w:p>
    <w:p w:rsidR="00541F06" w:rsidRPr="00541F06" w:rsidRDefault="00541F06" w:rsidP="00541F06">
      <w:pPr>
        <w:pStyle w:val="NoSpacing"/>
      </w:pPr>
      <w:r w:rsidRPr="00541F06">
        <w:t xml:space="preserve">HAI’s work to develop a more integrated approach to cross-cutting issues achieved considerable value among global </w:t>
      </w:r>
      <w:r w:rsidR="00F45E3A">
        <w:t xml:space="preserve">humanitarian </w:t>
      </w:r>
      <w:r w:rsidRPr="00541F06">
        <w:t>policy actors. A more integrated approach to cross-cutting issues is critical to increasing the capacity of humanitarians to address the needs of older people, through the IASC, clusters, HCs, and partners.</w:t>
      </w:r>
    </w:p>
    <w:p w:rsidR="00541F06" w:rsidRPr="00541F06" w:rsidRDefault="00541F06" w:rsidP="00541F06">
      <w:pPr>
        <w:pStyle w:val="NoSpacing"/>
      </w:pPr>
    </w:p>
    <w:p w:rsidR="00541F06" w:rsidRPr="00541F06" w:rsidRDefault="00541F06" w:rsidP="00541F06">
      <w:pPr>
        <w:pStyle w:val="NoSpacing"/>
      </w:pPr>
      <w:r w:rsidRPr="00541F06">
        <w:t>At relatively little cost, HAI’s work to increase integration among cross-cutting issues contribut</w:t>
      </w:r>
      <w:r w:rsidR="00547386">
        <w:t xml:space="preserve">ed to </w:t>
      </w:r>
      <w:r w:rsidRPr="00541F06">
        <w:t xml:space="preserve">a major policy development in support of integration, by recognizing gender and age as ‘universal determinants’ of vulnerability in the IASC sub-working group on gender; contributed to a range of other important policy developments in favour of integration, notably in the IASC/SWG, Global Protection Cluster, UNHCR, </w:t>
      </w:r>
      <w:proofErr w:type="spellStart"/>
      <w:r w:rsidRPr="00541F06">
        <w:t>DfID</w:t>
      </w:r>
      <w:proofErr w:type="spellEnd"/>
      <w:r w:rsidRPr="00541F06">
        <w:t xml:space="preserve">, and ICRC; and increased awareness about older people among humanitarian policy makers, notably in </w:t>
      </w:r>
      <w:proofErr w:type="spellStart"/>
      <w:r w:rsidRPr="00541F06">
        <w:t>GenCap</w:t>
      </w:r>
      <w:proofErr w:type="spellEnd"/>
      <w:r w:rsidRPr="00541F06">
        <w:t xml:space="preserve">, OCHA/CAP, global Clusters, and the IDMC. </w:t>
      </w:r>
    </w:p>
    <w:p w:rsidR="00541F06" w:rsidRPr="00541F06" w:rsidRDefault="00541F06" w:rsidP="00541F06">
      <w:pPr>
        <w:pStyle w:val="NoSpacing"/>
      </w:pPr>
    </w:p>
    <w:p w:rsidR="00541F06" w:rsidRPr="00541F06" w:rsidRDefault="00541F06" w:rsidP="00541F06">
      <w:pPr>
        <w:pStyle w:val="NoSpacing"/>
      </w:pPr>
      <w:r w:rsidRPr="00541F06">
        <w:t>HAI’s integration policy work also strengthened strategic partnerships, with HI in particular, but also with UNFPA and other policy actors in Geneva, New York, and London. Advocates for cross-cutting issues</w:t>
      </w:r>
      <w:r w:rsidR="00547386">
        <w:t>,</w:t>
      </w:r>
      <w:r w:rsidRPr="00541F06">
        <w:t xml:space="preserve"> including gender (though perhaps not children)</w:t>
      </w:r>
      <w:r w:rsidR="00547386">
        <w:t>,</w:t>
      </w:r>
      <w:r w:rsidRPr="00541F06">
        <w:t xml:space="preserve"> increasingly realize that they must collaborate. </w:t>
      </w:r>
    </w:p>
    <w:p w:rsidR="00541F06" w:rsidRPr="00541F06" w:rsidRDefault="00541F06" w:rsidP="00541F06">
      <w:pPr>
        <w:pStyle w:val="NoSpacing"/>
      </w:pPr>
    </w:p>
    <w:p w:rsidR="00541F06" w:rsidRPr="00541F06" w:rsidRDefault="00541F06" w:rsidP="00541F06">
      <w:pPr>
        <w:pStyle w:val="NoSpacing"/>
      </w:pPr>
      <w:r w:rsidRPr="00541F06">
        <w:t xml:space="preserve">Looking ahead, HAI’s humanitarian advisor in Geneva </w:t>
      </w:r>
      <w:r w:rsidR="002F4485">
        <w:t xml:space="preserve">should </w:t>
      </w:r>
      <w:r w:rsidRPr="00541F06">
        <w:t>see this process to completion, and ensure integration gains</w:t>
      </w:r>
      <w:r w:rsidR="002F4485">
        <w:t xml:space="preserve"> are consolidated. </w:t>
      </w:r>
      <w:r w:rsidRPr="00541F06">
        <w:t xml:space="preserve">HAI should address the following challenges: </w:t>
      </w:r>
    </w:p>
    <w:p w:rsidR="00541F06" w:rsidRPr="00541F06" w:rsidRDefault="00541F06" w:rsidP="00541F06">
      <w:pPr>
        <w:pStyle w:val="NoSpacing"/>
        <w:numPr>
          <w:ilvl w:val="0"/>
          <w:numId w:val="35"/>
        </w:numPr>
      </w:pPr>
      <w:r w:rsidRPr="00541F06">
        <w:t xml:space="preserve">Integration work should aim for all global clusters to mainstream gender, age, and disability in their policies and guidelines.  </w:t>
      </w:r>
    </w:p>
    <w:p w:rsidR="00541F06" w:rsidRPr="00541F06" w:rsidRDefault="00541F06" w:rsidP="00541F06">
      <w:pPr>
        <w:pStyle w:val="NoSpacing"/>
        <w:numPr>
          <w:ilvl w:val="0"/>
          <w:numId w:val="35"/>
        </w:numPr>
      </w:pPr>
      <w:r w:rsidRPr="00541F06">
        <w:t xml:space="preserve">Integration work should aim for policy changes to be implemented </w:t>
      </w:r>
      <w:r w:rsidR="002F4485">
        <w:t>at</w:t>
      </w:r>
      <w:r w:rsidRPr="00541F06">
        <w:t xml:space="preserve"> the field</w:t>
      </w:r>
      <w:r w:rsidR="002F4485">
        <w:t xml:space="preserve"> level</w:t>
      </w:r>
      <w:r w:rsidRPr="00541F06">
        <w:t xml:space="preserve">, often as simple changes to practice. Following achievements at the policy level, it will become important to push for inclusion at field level. </w:t>
      </w:r>
      <w:r w:rsidR="009A708E">
        <w:t xml:space="preserve">HAI should contribute to </w:t>
      </w:r>
      <w:r w:rsidRPr="00541F06">
        <w:t>this process by its own example</w:t>
      </w:r>
      <w:r w:rsidR="009A708E">
        <w:t>s</w:t>
      </w:r>
      <w:r w:rsidRPr="00541F06">
        <w:t xml:space="preserve">.  </w:t>
      </w:r>
    </w:p>
    <w:p w:rsidR="00541F06" w:rsidRPr="00541F06" w:rsidRDefault="00541F06" w:rsidP="00541F06">
      <w:pPr>
        <w:pStyle w:val="NoSpacing"/>
        <w:numPr>
          <w:ilvl w:val="0"/>
          <w:numId w:val="35"/>
        </w:numPr>
      </w:pPr>
      <w:r w:rsidRPr="00541F06">
        <w:t>Integration work should ensure</w:t>
      </w:r>
      <w:r w:rsidR="009A708E">
        <w:t xml:space="preserve"> that </w:t>
      </w:r>
      <w:r w:rsidRPr="00541F06">
        <w:t xml:space="preserve">responsibility for </w:t>
      </w:r>
      <w:r w:rsidR="009A708E">
        <w:t xml:space="preserve">integrating </w:t>
      </w:r>
      <w:r w:rsidRPr="00541F06">
        <w:t xml:space="preserve">cross-cutting issues lies </w:t>
      </w:r>
      <w:r w:rsidR="009A708E">
        <w:t xml:space="preserve">clearly </w:t>
      </w:r>
      <w:r w:rsidRPr="00541F06">
        <w:t xml:space="preserve">with the IASC, OCHA, and HCs. HAI and its strategic partners </w:t>
      </w:r>
      <w:r w:rsidR="00E06596">
        <w:t>could</w:t>
      </w:r>
      <w:r w:rsidRPr="00541F06">
        <w:t xml:space="preserve"> </w:t>
      </w:r>
      <w:r w:rsidR="00E06596">
        <w:t xml:space="preserve">add value by </w:t>
      </w:r>
      <w:r w:rsidRPr="00541F06">
        <w:t>monitor</w:t>
      </w:r>
      <w:r w:rsidR="00E06596">
        <w:t>ing</w:t>
      </w:r>
      <w:r w:rsidRPr="00541F06">
        <w:t xml:space="preserve"> the performanc</w:t>
      </w:r>
      <w:r w:rsidR="002F4485">
        <w:t>e of these authorities, and helping</w:t>
      </w:r>
      <w:r w:rsidRPr="00541F06">
        <w:t xml:space="preserve"> to hold them accountable. </w:t>
      </w:r>
    </w:p>
    <w:p w:rsidR="00541F06" w:rsidRPr="00541F06" w:rsidRDefault="00541F06" w:rsidP="00541F06">
      <w:pPr>
        <w:pStyle w:val="NoSpacing"/>
        <w:numPr>
          <w:ilvl w:val="0"/>
          <w:numId w:val="35"/>
        </w:numPr>
      </w:pPr>
      <w:r w:rsidRPr="00541F06">
        <w:t xml:space="preserve">Integration work should </w:t>
      </w:r>
      <w:r w:rsidR="00EF37EA">
        <w:t xml:space="preserve">explore the </w:t>
      </w:r>
      <w:r w:rsidRPr="00541F06">
        <w:t>develop</w:t>
      </w:r>
      <w:r w:rsidR="00EF37EA">
        <w:t>ment of</w:t>
      </w:r>
      <w:r w:rsidRPr="00541F06">
        <w:t xml:space="preserve"> joint initiatives among HAI and strategic partners to support mainstreaming and a people-centred approach. NGOs working together could </w:t>
      </w:r>
      <w:r w:rsidR="00EF37EA">
        <w:t xml:space="preserve">make </w:t>
      </w:r>
      <w:r w:rsidRPr="00541F06">
        <w:t xml:space="preserve">their influence </w:t>
      </w:r>
      <w:r w:rsidR="00EF37EA">
        <w:t xml:space="preserve">felt </w:t>
      </w:r>
      <w:r w:rsidRPr="00541F06">
        <w:t xml:space="preserve">in the larger task of changing practice. </w:t>
      </w:r>
    </w:p>
    <w:p w:rsidR="00541F06" w:rsidRDefault="00541F06" w:rsidP="000E71A1">
      <w:pPr>
        <w:pStyle w:val="NoSpacing"/>
      </w:pPr>
    </w:p>
    <w:p w:rsidR="00E61109" w:rsidRPr="00102408" w:rsidRDefault="00E61109" w:rsidP="00493997">
      <w:pPr>
        <w:pStyle w:val="NoSpacing"/>
        <w:numPr>
          <w:ilvl w:val="0"/>
          <w:numId w:val="18"/>
        </w:numPr>
        <w:rPr>
          <w:b/>
        </w:rPr>
      </w:pPr>
      <w:r w:rsidRPr="00102408">
        <w:rPr>
          <w:b/>
        </w:rPr>
        <w:t xml:space="preserve">Relevance </w:t>
      </w:r>
    </w:p>
    <w:p w:rsidR="00102408" w:rsidRPr="00102408" w:rsidRDefault="00102408" w:rsidP="00102408">
      <w:pPr>
        <w:pStyle w:val="NoSpacing"/>
      </w:pPr>
      <w:r w:rsidRPr="00102408">
        <w:t>HAI’s work has been well aligned to its objective</w:t>
      </w:r>
      <w:r w:rsidR="007977D7">
        <w:t xml:space="preserve">, </w:t>
      </w:r>
      <w:r w:rsidRPr="00102408">
        <w:t xml:space="preserve">increasing the capacity of humanitarians to address the needs of older people and </w:t>
      </w:r>
      <w:r w:rsidR="007977D7">
        <w:t xml:space="preserve">disabled people, in support of </w:t>
      </w:r>
      <w:r w:rsidRPr="00102408">
        <w:t>its goal</w:t>
      </w:r>
      <w:r w:rsidR="007977D7">
        <w:t>:</w:t>
      </w:r>
      <w:r w:rsidRPr="00102408">
        <w:t xml:space="preserve"> older men and women ultimately being assisted and protected in disasters according to humanitarian principles. It has also been appropriate for</w:t>
      </w:r>
      <w:r w:rsidR="00395A4F">
        <w:t>,</w:t>
      </w:r>
      <w:r w:rsidRPr="00102408">
        <w:t xml:space="preserve"> and requested by</w:t>
      </w:r>
      <w:r w:rsidR="00395A4F">
        <w:t>,</w:t>
      </w:r>
      <w:r w:rsidRPr="00102408">
        <w:t xml:space="preserve"> humanitarian clusters, partners, and HAI country teams.  </w:t>
      </w:r>
    </w:p>
    <w:p w:rsidR="00102408" w:rsidRPr="00102408" w:rsidRDefault="00102408" w:rsidP="00102408">
      <w:pPr>
        <w:pStyle w:val="NoSpacing"/>
      </w:pPr>
    </w:p>
    <w:p w:rsidR="00EF37EA" w:rsidRDefault="00102408" w:rsidP="00102408">
      <w:pPr>
        <w:pStyle w:val="NoSpacing"/>
      </w:pPr>
      <w:r w:rsidRPr="00102408">
        <w:t>However, the goal remains distant and progress towards the objective difficult to quantify. Looking ahead, HAI will need to</w:t>
      </w:r>
      <w:r w:rsidR="00EF37EA">
        <w:t>:</w:t>
      </w:r>
    </w:p>
    <w:p w:rsidR="00EF37EA" w:rsidRDefault="00EF37EA" w:rsidP="00EF37EA">
      <w:pPr>
        <w:pStyle w:val="NoSpacing"/>
        <w:numPr>
          <w:ilvl w:val="0"/>
          <w:numId w:val="40"/>
        </w:numPr>
      </w:pPr>
      <w:r>
        <w:t>C</w:t>
      </w:r>
      <w:r w:rsidR="00102408" w:rsidRPr="00102408">
        <w:t xml:space="preserve">larify a roadmap for achieving expected impacts, including milestones and expected outcomes along the way; </w:t>
      </w:r>
    </w:p>
    <w:p w:rsidR="00EF37EA" w:rsidRDefault="00EF37EA" w:rsidP="00EF37EA">
      <w:pPr>
        <w:pStyle w:val="NoSpacing"/>
        <w:numPr>
          <w:ilvl w:val="0"/>
          <w:numId w:val="40"/>
        </w:numPr>
      </w:pPr>
      <w:r>
        <w:t>C</w:t>
      </w:r>
      <w:r w:rsidR="00102408" w:rsidRPr="00102408">
        <w:t xml:space="preserve">larify which actors need to be targeted (in which order) to achieve the scale of change required; and </w:t>
      </w:r>
    </w:p>
    <w:p w:rsidR="00102408" w:rsidRPr="00102408" w:rsidRDefault="00EF37EA" w:rsidP="00EF37EA">
      <w:pPr>
        <w:pStyle w:val="NoSpacing"/>
        <w:numPr>
          <w:ilvl w:val="0"/>
          <w:numId w:val="40"/>
        </w:numPr>
      </w:pPr>
      <w:r>
        <w:t>F</w:t>
      </w:r>
      <w:r w:rsidR="00102408" w:rsidRPr="00102408">
        <w:t>ind a</w:t>
      </w:r>
      <w:r w:rsidR="0096598F">
        <w:t xml:space="preserve">n appropriate </w:t>
      </w:r>
      <w:r w:rsidR="00102408" w:rsidRPr="00102408">
        <w:t>strategic balance between assisting older people</w:t>
      </w:r>
      <w:r w:rsidR="00102408">
        <w:t xml:space="preserve"> directly</w:t>
      </w:r>
      <w:r w:rsidR="00102408" w:rsidRPr="00102408">
        <w:t xml:space="preserve">, providing expertise on inclusion of older people and people with disabilities, and strengthening inclusion </w:t>
      </w:r>
      <w:r w:rsidR="00102408">
        <w:t xml:space="preserve">of </w:t>
      </w:r>
      <w:r w:rsidR="00102408" w:rsidRPr="00102408">
        <w:t xml:space="preserve">gender, age, and disability in the humanitarian response.   </w:t>
      </w:r>
    </w:p>
    <w:p w:rsidR="00102408" w:rsidRDefault="00102408" w:rsidP="000E71A1">
      <w:pPr>
        <w:pStyle w:val="NoSpacing"/>
      </w:pPr>
    </w:p>
    <w:p w:rsidR="00941231" w:rsidRPr="00824B8C" w:rsidRDefault="00E61109" w:rsidP="00493997">
      <w:pPr>
        <w:pStyle w:val="NoSpacing"/>
        <w:numPr>
          <w:ilvl w:val="0"/>
          <w:numId w:val="18"/>
        </w:numPr>
        <w:rPr>
          <w:b/>
        </w:rPr>
      </w:pPr>
      <w:r w:rsidRPr="00824B8C">
        <w:rPr>
          <w:b/>
        </w:rPr>
        <w:t>Effectiveness</w:t>
      </w:r>
      <w:r w:rsidR="00D767BC" w:rsidRPr="00824B8C">
        <w:rPr>
          <w:b/>
        </w:rPr>
        <w:t xml:space="preserve"> </w:t>
      </w:r>
    </w:p>
    <w:p w:rsidR="00824B8C" w:rsidRPr="00824B8C" w:rsidRDefault="00824B8C" w:rsidP="00824B8C">
      <w:pPr>
        <w:pStyle w:val="NoSpacing"/>
      </w:pPr>
      <w:r>
        <w:t>I</w:t>
      </w:r>
      <w:r w:rsidRPr="00824B8C">
        <w:t xml:space="preserve">n this </w:t>
      </w:r>
      <w:r w:rsidR="003612E3">
        <w:t xml:space="preserve">short </w:t>
      </w:r>
      <w:r w:rsidRPr="00824B8C">
        <w:t>project</w:t>
      </w:r>
      <w:r>
        <w:t>, HAI</w:t>
      </w:r>
      <w:r w:rsidRPr="00824B8C">
        <w:t xml:space="preserve"> formalized and initiated a process </w:t>
      </w:r>
      <w:r>
        <w:t>that has begun to</w:t>
      </w:r>
      <w:r w:rsidRPr="00824B8C">
        <w:t xml:space="preserve"> increas</w:t>
      </w:r>
      <w:r>
        <w:t>e</w:t>
      </w:r>
      <w:r w:rsidRPr="00824B8C">
        <w:t xml:space="preserve"> the capacity of humanitarians to address the needs of older (and disabled) people. It provided expertise </w:t>
      </w:r>
      <w:r w:rsidR="0048218A">
        <w:t xml:space="preserve">to diverse humanitarians </w:t>
      </w:r>
      <w:r w:rsidRPr="00824B8C">
        <w:t>through awareness training, technical guidance, policy publications, and direct engagements; devised and tested a needs assessment methodology; and improved the global integration of age and other cross cutting issues. It developed a set of effective materials, tools, and activities that contribute to achieving the objective</w:t>
      </w:r>
      <w:r w:rsidR="0048218A">
        <w:t xml:space="preserve">: </w:t>
      </w:r>
      <w:r w:rsidRPr="00824B8C">
        <w:t>the deployment of experts</w:t>
      </w:r>
      <w:r w:rsidR="0048218A">
        <w:t xml:space="preserve">, </w:t>
      </w:r>
      <w:r w:rsidRPr="00824B8C">
        <w:t>integration of cost-cutting issues</w:t>
      </w:r>
      <w:r w:rsidR="0048218A">
        <w:t xml:space="preserve">, </w:t>
      </w:r>
      <w:r w:rsidRPr="00824B8C">
        <w:t xml:space="preserve">training, publications, needs assessments, and strategic partnerships.    </w:t>
      </w:r>
    </w:p>
    <w:p w:rsidR="00824B8C" w:rsidRPr="00824B8C" w:rsidRDefault="00824B8C" w:rsidP="00824B8C">
      <w:pPr>
        <w:pStyle w:val="NoSpacing"/>
      </w:pPr>
    </w:p>
    <w:p w:rsidR="00824B8C" w:rsidRPr="00824B8C" w:rsidRDefault="00824B8C" w:rsidP="00824B8C">
      <w:pPr>
        <w:pStyle w:val="NoSpacing"/>
      </w:pPr>
      <w:r w:rsidRPr="00824B8C">
        <w:t xml:space="preserve">The effectiveness of this </w:t>
      </w:r>
      <w:r w:rsidR="0048218A">
        <w:t>work</w:t>
      </w:r>
      <w:r w:rsidRPr="00824B8C">
        <w:t xml:space="preserve"> depends on the combination </w:t>
      </w:r>
      <w:r w:rsidR="006B36E3">
        <w:t xml:space="preserve">of activities </w:t>
      </w:r>
      <w:r w:rsidRPr="00824B8C">
        <w:t>in support of changing the awareness, attitudes, competencies, and actions of specific</w:t>
      </w:r>
      <w:r w:rsidR="002F4601">
        <w:t>ally targeted</w:t>
      </w:r>
      <w:r w:rsidRPr="00824B8C">
        <w:t xml:space="preserve"> humanitarian actors. Key factors of success in th</w:t>
      </w:r>
      <w:r w:rsidR="0048218A">
        <w:t xml:space="preserve">e project </w:t>
      </w:r>
      <w:r w:rsidRPr="00824B8C">
        <w:t xml:space="preserve">have been </w:t>
      </w:r>
      <w:r w:rsidR="0048218A">
        <w:t xml:space="preserve">the </w:t>
      </w:r>
      <w:r w:rsidRPr="00824B8C">
        <w:t>competency of staff; the quality of activities, products, and services; HAI recognized expertise, based in practic</w:t>
      </w:r>
      <w:r w:rsidR="0048218A">
        <w:t>al experience</w:t>
      </w:r>
      <w:r w:rsidRPr="00824B8C">
        <w:t>; the willingness of partners</w:t>
      </w:r>
      <w:r w:rsidR="0048218A">
        <w:t xml:space="preserve"> to engage</w:t>
      </w:r>
      <w:r w:rsidRPr="00824B8C">
        <w:t xml:space="preserve">; and the </w:t>
      </w:r>
      <w:r w:rsidR="0048218A">
        <w:t xml:space="preserve">funding </w:t>
      </w:r>
      <w:r w:rsidRPr="00824B8C">
        <w:t xml:space="preserve">support of ECHO.  </w:t>
      </w:r>
    </w:p>
    <w:p w:rsidR="00824B8C" w:rsidRPr="00824B8C" w:rsidRDefault="00824B8C" w:rsidP="00824B8C">
      <w:pPr>
        <w:pStyle w:val="NoSpacing"/>
      </w:pPr>
    </w:p>
    <w:p w:rsidR="00824B8C" w:rsidRPr="00824B8C" w:rsidRDefault="00824B8C" w:rsidP="00824B8C">
      <w:pPr>
        <w:pStyle w:val="NoSpacing"/>
      </w:pPr>
      <w:r w:rsidRPr="00824B8C">
        <w:t>The work has been relatively cost-effective</w:t>
      </w:r>
      <w:r w:rsidR="001773DC">
        <w:t xml:space="preserve"> but requires continued funding </w:t>
      </w:r>
      <w:r w:rsidR="00E30667">
        <w:t xml:space="preserve">for value </w:t>
      </w:r>
      <w:r w:rsidR="009A109A">
        <w:t xml:space="preserve">created </w:t>
      </w:r>
      <w:r w:rsidR="00E30667">
        <w:t xml:space="preserve">to be </w:t>
      </w:r>
      <w:r w:rsidR="001773DC">
        <w:t>sustain</w:t>
      </w:r>
      <w:r w:rsidR="00E30667">
        <w:t>ed</w:t>
      </w:r>
      <w:r w:rsidRPr="00824B8C">
        <w:t xml:space="preserve">. Having achieved a first step toward the goal, the project </w:t>
      </w:r>
      <w:r w:rsidR="0048218A">
        <w:t xml:space="preserve">has </w:t>
      </w:r>
      <w:r w:rsidRPr="00824B8C">
        <w:t>open</w:t>
      </w:r>
      <w:r w:rsidR="0048218A">
        <w:t>ed</w:t>
      </w:r>
      <w:r w:rsidRPr="00824B8C">
        <w:t xml:space="preserve"> the way for wider implementation and multiple achievements at a lesser cost. HAI plans to invest core funds in continued training and guideline dissemination, and to seek funding for a standby roster of experts. But the sustainability of these activities </w:t>
      </w:r>
      <w:r w:rsidR="0048218A">
        <w:t xml:space="preserve">and their combined effectiveness </w:t>
      </w:r>
      <w:r w:rsidRPr="00824B8C">
        <w:t xml:space="preserve">depends on continued engagement from </w:t>
      </w:r>
      <w:r w:rsidR="0048218A">
        <w:t xml:space="preserve">HAI teams, </w:t>
      </w:r>
      <w:r w:rsidRPr="00824B8C">
        <w:t>partners</w:t>
      </w:r>
      <w:r w:rsidR="0048218A">
        <w:t>,</w:t>
      </w:r>
      <w:r w:rsidRPr="00824B8C">
        <w:t xml:space="preserve"> and </w:t>
      </w:r>
      <w:r w:rsidR="0048218A">
        <w:t xml:space="preserve">enlightened </w:t>
      </w:r>
      <w:r w:rsidRPr="00824B8C">
        <w:t>donor</w:t>
      </w:r>
      <w:r w:rsidR="0048218A">
        <w:t>s</w:t>
      </w:r>
      <w:r w:rsidRPr="00824B8C">
        <w:t xml:space="preserve">. </w:t>
      </w:r>
    </w:p>
    <w:p w:rsidR="00824B8C" w:rsidRDefault="00824B8C" w:rsidP="000E71A1">
      <w:pPr>
        <w:pStyle w:val="NoSpacing"/>
      </w:pPr>
    </w:p>
    <w:p w:rsidR="002048BA" w:rsidRPr="002048BA" w:rsidRDefault="002048BA" w:rsidP="002048BA">
      <w:pPr>
        <w:pStyle w:val="NoSpacing"/>
        <w:numPr>
          <w:ilvl w:val="0"/>
          <w:numId w:val="18"/>
        </w:numPr>
        <w:rPr>
          <w:b/>
        </w:rPr>
      </w:pPr>
      <w:r w:rsidRPr="002048BA">
        <w:rPr>
          <w:b/>
        </w:rPr>
        <w:t>Outcomes</w:t>
      </w:r>
    </w:p>
    <w:p w:rsidR="002048BA" w:rsidRPr="002048BA" w:rsidRDefault="002048BA" w:rsidP="002048BA">
      <w:pPr>
        <w:pStyle w:val="NoSpacing"/>
      </w:pPr>
      <w:r w:rsidRPr="002048BA">
        <w:t>The project and its diverse activities have contributed, often significantly, to achieving these numerous outcomes</w:t>
      </w:r>
      <w:r w:rsidR="006B36E3">
        <w:t xml:space="preserve"> after 18 months</w:t>
      </w:r>
      <w:r w:rsidR="004A07A4">
        <w:t xml:space="preserve"> of activity</w:t>
      </w:r>
      <w:r w:rsidRPr="002048BA">
        <w:t xml:space="preserve">: </w:t>
      </w:r>
    </w:p>
    <w:p w:rsidR="002048BA" w:rsidRPr="002048BA" w:rsidRDefault="004A07A4" w:rsidP="002048BA">
      <w:pPr>
        <w:pStyle w:val="NoSpacing"/>
        <w:numPr>
          <w:ilvl w:val="0"/>
          <w:numId w:val="36"/>
        </w:numPr>
      </w:pPr>
      <w:r>
        <w:t>R</w:t>
      </w:r>
      <w:r w:rsidR="002048BA" w:rsidRPr="002048BA">
        <w:t xml:space="preserve">aised awareness of older people among humanitarians; </w:t>
      </w:r>
    </w:p>
    <w:p w:rsidR="002048BA" w:rsidRPr="002048BA" w:rsidRDefault="004A07A4" w:rsidP="002048BA">
      <w:pPr>
        <w:pStyle w:val="NoSpacing"/>
        <w:numPr>
          <w:ilvl w:val="0"/>
          <w:numId w:val="36"/>
        </w:numPr>
      </w:pPr>
      <w:r>
        <w:lastRenderedPageBreak/>
        <w:t>S</w:t>
      </w:r>
      <w:r w:rsidR="002048BA" w:rsidRPr="002048BA">
        <w:t xml:space="preserve">ensitization of </w:t>
      </w:r>
      <w:r w:rsidR="002822A2">
        <w:t>486</w:t>
      </w:r>
      <w:r w:rsidR="002048BA" w:rsidRPr="002048BA">
        <w:t xml:space="preserve">+ field staff and policy makers worldwide; </w:t>
      </w:r>
    </w:p>
    <w:p w:rsidR="002048BA" w:rsidRPr="002048BA" w:rsidRDefault="004A07A4" w:rsidP="002048BA">
      <w:pPr>
        <w:pStyle w:val="NoSpacing"/>
        <w:numPr>
          <w:ilvl w:val="0"/>
          <w:numId w:val="36"/>
        </w:numPr>
      </w:pPr>
      <w:r>
        <w:t>W</w:t>
      </w:r>
      <w:r w:rsidR="002048BA" w:rsidRPr="002048BA">
        <w:t xml:space="preserve">idespread interest in HAI and requests for its expert assistance; </w:t>
      </w:r>
    </w:p>
    <w:p w:rsidR="002048BA" w:rsidRPr="002048BA" w:rsidRDefault="004A07A4" w:rsidP="002048BA">
      <w:pPr>
        <w:pStyle w:val="NoSpacing"/>
        <w:numPr>
          <w:ilvl w:val="0"/>
          <w:numId w:val="36"/>
        </w:numPr>
      </w:pPr>
      <w:r>
        <w:t>M</w:t>
      </w:r>
      <w:r w:rsidR="002048BA" w:rsidRPr="002048BA">
        <w:t xml:space="preserve">ultiple opportunities for collaboration in support of inclusive practices; </w:t>
      </w:r>
    </w:p>
    <w:p w:rsidR="002048BA" w:rsidRPr="002048BA" w:rsidRDefault="004A07A4" w:rsidP="002048BA">
      <w:pPr>
        <w:pStyle w:val="NoSpacing"/>
        <w:numPr>
          <w:ilvl w:val="0"/>
          <w:numId w:val="36"/>
        </w:numPr>
      </w:pPr>
      <w:r>
        <w:t>R</w:t>
      </w:r>
      <w:r w:rsidR="002048BA" w:rsidRPr="002048BA">
        <w:t xml:space="preserve">eported changes in policies and practices in some locations; </w:t>
      </w:r>
    </w:p>
    <w:p w:rsidR="002048BA" w:rsidRPr="002048BA" w:rsidRDefault="004A07A4" w:rsidP="002048BA">
      <w:pPr>
        <w:pStyle w:val="NoSpacing"/>
        <w:numPr>
          <w:ilvl w:val="0"/>
          <w:numId w:val="37"/>
        </w:numPr>
      </w:pPr>
      <w:r>
        <w:t>A</w:t>
      </w:r>
      <w:r w:rsidR="002048BA" w:rsidRPr="002048BA">
        <w:t xml:space="preserve"> means to include older peop</w:t>
      </w:r>
      <w:r w:rsidR="00774B0E">
        <w:t>le’s needs in needs assessments;</w:t>
      </w:r>
      <w:r w:rsidR="002048BA" w:rsidRPr="002048BA">
        <w:t xml:space="preserve"> </w:t>
      </w:r>
    </w:p>
    <w:p w:rsidR="002048BA" w:rsidRPr="002048BA" w:rsidRDefault="004A07A4" w:rsidP="002048BA">
      <w:pPr>
        <w:pStyle w:val="NoSpacing"/>
        <w:numPr>
          <w:ilvl w:val="0"/>
          <w:numId w:val="37"/>
        </w:numPr>
      </w:pPr>
      <w:r>
        <w:t>P</w:t>
      </w:r>
      <w:r w:rsidR="002048BA" w:rsidRPr="002048BA">
        <w:t xml:space="preserve">articipants in the testing </w:t>
      </w:r>
      <w:r w:rsidR="00774B0E">
        <w:t>conducting needs assessments;</w:t>
      </w:r>
    </w:p>
    <w:p w:rsidR="002048BA" w:rsidRPr="002048BA" w:rsidRDefault="002048BA" w:rsidP="002048BA">
      <w:pPr>
        <w:pStyle w:val="NoSpacing"/>
        <w:numPr>
          <w:ilvl w:val="0"/>
          <w:numId w:val="37"/>
        </w:numPr>
      </w:pPr>
      <w:r w:rsidRPr="002048BA">
        <w:t>HAI advocacy for use of needs assessment</w:t>
      </w:r>
      <w:r w:rsidR="00774B0E">
        <w:t>;</w:t>
      </w:r>
      <w:r w:rsidRPr="002048BA">
        <w:t xml:space="preserve">  </w:t>
      </w:r>
    </w:p>
    <w:p w:rsidR="002048BA" w:rsidRPr="002048BA" w:rsidRDefault="002048BA" w:rsidP="002048BA">
      <w:pPr>
        <w:pStyle w:val="NoSpacing"/>
        <w:numPr>
          <w:ilvl w:val="0"/>
          <w:numId w:val="37"/>
        </w:numPr>
      </w:pPr>
      <w:r w:rsidRPr="002048BA">
        <w:t>HAI access new funding streams</w:t>
      </w:r>
      <w:r w:rsidR="00774B0E">
        <w:t>;</w:t>
      </w:r>
      <w:r w:rsidRPr="002048BA">
        <w:t xml:space="preserve">    </w:t>
      </w:r>
    </w:p>
    <w:p w:rsidR="002048BA" w:rsidRPr="002048BA" w:rsidRDefault="004A07A4" w:rsidP="002048BA">
      <w:pPr>
        <w:pStyle w:val="NoSpacing"/>
        <w:numPr>
          <w:ilvl w:val="0"/>
          <w:numId w:val="37"/>
        </w:numPr>
      </w:pPr>
      <w:r>
        <w:t>E</w:t>
      </w:r>
      <w:r w:rsidR="002048BA" w:rsidRPr="002048BA">
        <w:t>volutions in needs assessments among partners</w:t>
      </w:r>
      <w:r w:rsidR="00774B0E">
        <w:t>;</w:t>
      </w:r>
    </w:p>
    <w:p w:rsidR="002048BA" w:rsidRPr="002048BA" w:rsidRDefault="004A07A4" w:rsidP="002048BA">
      <w:pPr>
        <w:pStyle w:val="NoSpacing"/>
        <w:numPr>
          <w:ilvl w:val="0"/>
          <w:numId w:val="38"/>
        </w:numPr>
      </w:pPr>
      <w:r>
        <w:t>A</w:t>
      </w:r>
      <w:r w:rsidR="002048BA" w:rsidRPr="002048BA">
        <w:t xml:space="preserve"> major policy development in support of integration</w:t>
      </w:r>
      <w:r w:rsidR="00774B0E">
        <w:t>;</w:t>
      </w:r>
      <w:r w:rsidR="002048BA" w:rsidRPr="002048BA">
        <w:t xml:space="preserve"> </w:t>
      </w:r>
    </w:p>
    <w:p w:rsidR="002048BA" w:rsidRPr="002048BA" w:rsidRDefault="004A07A4" w:rsidP="002048BA">
      <w:pPr>
        <w:pStyle w:val="NoSpacing"/>
        <w:numPr>
          <w:ilvl w:val="0"/>
          <w:numId w:val="38"/>
        </w:numPr>
      </w:pPr>
      <w:r>
        <w:t>V</w:t>
      </w:r>
      <w:r w:rsidR="002048BA" w:rsidRPr="002048BA">
        <w:t>arious important policy developments in favour of integration</w:t>
      </w:r>
      <w:r w:rsidR="00774B0E">
        <w:t>;</w:t>
      </w:r>
      <w:r w:rsidR="002048BA" w:rsidRPr="002048BA">
        <w:t xml:space="preserve"> </w:t>
      </w:r>
      <w:r w:rsidR="00774B0E">
        <w:t>and</w:t>
      </w:r>
    </w:p>
    <w:p w:rsidR="002048BA" w:rsidRPr="002048BA" w:rsidRDefault="004A07A4" w:rsidP="002048BA">
      <w:pPr>
        <w:pStyle w:val="NoSpacing"/>
        <w:numPr>
          <w:ilvl w:val="0"/>
          <w:numId w:val="38"/>
        </w:numPr>
      </w:pPr>
      <w:r>
        <w:t>I</w:t>
      </w:r>
      <w:r w:rsidR="002048BA" w:rsidRPr="002048BA">
        <w:t>ncreased awareness about older people among humanitarian policy makers</w:t>
      </w:r>
      <w:r w:rsidR="00774B0E">
        <w:t>.</w:t>
      </w:r>
    </w:p>
    <w:p w:rsidR="002048BA" w:rsidRPr="002048BA" w:rsidRDefault="002048BA" w:rsidP="002048BA">
      <w:pPr>
        <w:pStyle w:val="NoSpacing"/>
      </w:pPr>
    </w:p>
    <w:p w:rsidR="002048BA" w:rsidRPr="002048BA" w:rsidRDefault="002048BA" w:rsidP="002048BA">
      <w:pPr>
        <w:pStyle w:val="NoSpacing"/>
      </w:pPr>
      <w:r w:rsidRPr="002048BA">
        <w:t xml:space="preserve">The activities have contributed in different ways </w:t>
      </w:r>
      <w:r w:rsidR="004A07A4">
        <w:t xml:space="preserve">and </w:t>
      </w:r>
      <w:r w:rsidRPr="002048BA">
        <w:t>to a greater or lesser extent. Training activities have perhaps prompted most outcomes, since they reached larger numbers of people. Deployments</w:t>
      </w:r>
      <w:r w:rsidR="004A07A4">
        <w:t xml:space="preserve"> are less visible but </w:t>
      </w:r>
      <w:r w:rsidRPr="002048BA">
        <w:t xml:space="preserve">impactful. Changes in cross-cutting issues policy may yet have a far greater impact. Outcomes from the production of guidelines remain hard to assess as they were published too recently, and the utilization of the needs assessment methodology has so far been disappointing in three of four locations. </w:t>
      </w:r>
    </w:p>
    <w:p w:rsidR="002048BA" w:rsidRPr="002048BA" w:rsidRDefault="002048BA" w:rsidP="002048BA">
      <w:pPr>
        <w:pStyle w:val="NoSpacing"/>
      </w:pPr>
    </w:p>
    <w:p w:rsidR="002048BA" w:rsidRPr="002048BA" w:rsidRDefault="002048BA" w:rsidP="002048BA">
      <w:pPr>
        <w:pStyle w:val="NoSpacing"/>
      </w:pPr>
      <w:r w:rsidRPr="002048BA">
        <w:t>Looking forward, numerous outcomes remain to be achieved on the path towards inclusion of older people in humanitarian response</w:t>
      </w:r>
      <w:r w:rsidR="00774B0E">
        <w:t>:</w:t>
      </w:r>
    </w:p>
    <w:p w:rsidR="002048BA" w:rsidRPr="002048BA" w:rsidRDefault="002048BA" w:rsidP="002048BA">
      <w:pPr>
        <w:pStyle w:val="NoSpacing"/>
        <w:numPr>
          <w:ilvl w:val="0"/>
          <w:numId w:val="39"/>
        </w:numPr>
      </w:pPr>
      <w:r w:rsidRPr="002048BA">
        <w:t xml:space="preserve">HAI to consider how its expertise can help bring changes at field level, perhaps by focusing initially on a selection of locations; </w:t>
      </w:r>
    </w:p>
    <w:p w:rsidR="002048BA" w:rsidRPr="002048BA" w:rsidRDefault="002048BA" w:rsidP="002048BA">
      <w:pPr>
        <w:pStyle w:val="NoSpacing"/>
        <w:numPr>
          <w:ilvl w:val="0"/>
          <w:numId w:val="39"/>
        </w:numPr>
      </w:pPr>
      <w:r w:rsidRPr="002048BA">
        <w:t xml:space="preserve">HAI to establish a mechanism for follow up and monitoring of outcomes; </w:t>
      </w:r>
    </w:p>
    <w:p w:rsidR="002048BA" w:rsidRPr="002048BA" w:rsidRDefault="002048BA" w:rsidP="002048BA">
      <w:pPr>
        <w:pStyle w:val="NoSpacing"/>
        <w:numPr>
          <w:ilvl w:val="0"/>
          <w:numId w:val="39"/>
        </w:numPr>
      </w:pPr>
      <w:r w:rsidRPr="002048BA">
        <w:t xml:space="preserve">HAI to implement SADD in its own programming, and provide advice on good practice;  </w:t>
      </w:r>
    </w:p>
    <w:p w:rsidR="002048BA" w:rsidRPr="002048BA" w:rsidRDefault="002048BA" w:rsidP="002048BA">
      <w:pPr>
        <w:pStyle w:val="NoSpacing"/>
        <w:numPr>
          <w:ilvl w:val="0"/>
          <w:numId w:val="39"/>
        </w:numPr>
      </w:pPr>
      <w:r w:rsidRPr="002048BA">
        <w:t xml:space="preserve">HAI and partners to aim for a system that automatically assesses the needs of older people in disasters; </w:t>
      </w:r>
    </w:p>
    <w:p w:rsidR="002048BA" w:rsidRPr="002048BA" w:rsidRDefault="004A07A4" w:rsidP="002048BA">
      <w:pPr>
        <w:pStyle w:val="NoSpacing"/>
        <w:numPr>
          <w:ilvl w:val="0"/>
          <w:numId w:val="39"/>
        </w:numPr>
      </w:pPr>
      <w:r>
        <w:t xml:space="preserve">HAI and </w:t>
      </w:r>
      <w:r w:rsidR="002048BA" w:rsidRPr="002048BA">
        <w:t>advocacy partners to develop joint initiatives in advocacy and practice to support mainstreaming</w:t>
      </w:r>
      <w:r w:rsidR="00774B0E">
        <w:t>, and a people-centred approach;</w:t>
      </w:r>
    </w:p>
    <w:p w:rsidR="002048BA" w:rsidRPr="002048BA" w:rsidRDefault="002048BA" w:rsidP="002048BA">
      <w:pPr>
        <w:pStyle w:val="NoSpacing"/>
        <w:numPr>
          <w:ilvl w:val="0"/>
          <w:numId w:val="39"/>
        </w:numPr>
      </w:pPr>
      <w:r w:rsidRPr="002048BA">
        <w:t xml:space="preserve">DFID and ECHO to strengthen their requirements for SADD in funding guidelines;  </w:t>
      </w:r>
    </w:p>
    <w:p w:rsidR="002048BA" w:rsidRPr="002048BA" w:rsidRDefault="002048BA" w:rsidP="002048BA">
      <w:pPr>
        <w:pStyle w:val="NoSpacing"/>
        <w:numPr>
          <w:ilvl w:val="0"/>
          <w:numId w:val="39"/>
        </w:numPr>
      </w:pPr>
      <w:r w:rsidRPr="002048BA">
        <w:t>IASC, OCHA, and HCs to assume responsibility for cross-cutting issues</w:t>
      </w:r>
      <w:r w:rsidR="004A07A4">
        <w:t>;</w:t>
      </w:r>
      <w:r w:rsidRPr="002048BA">
        <w:t xml:space="preserve"> </w:t>
      </w:r>
    </w:p>
    <w:p w:rsidR="002048BA" w:rsidRPr="002048BA" w:rsidRDefault="004A07A4" w:rsidP="002048BA">
      <w:pPr>
        <w:pStyle w:val="NoSpacing"/>
        <w:numPr>
          <w:ilvl w:val="0"/>
          <w:numId w:val="39"/>
        </w:numPr>
      </w:pPr>
      <w:r>
        <w:t xml:space="preserve">All global clusters </w:t>
      </w:r>
      <w:r w:rsidR="002048BA" w:rsidRPr="002048BA">
        <w:t>to mainstream gender, age, and disability in policies and guidelines; and</w:t>
      </w:r>
    </w:p>
    <w:p w:rsidR="002048BA" w:rsidRPr="002048BA" w:rsidRDefault="002048BA" w:rsidP="002048BA">
      <w:pPr>
        <w:pStyle w:val="NoSpacing"/>
        <w:numPr>
          <w:ilvl w:val="0"/>
          <w:numId w:val="39"/>
        </w:numPr>
      </w:pPr>
      <w:r w:rsidRPr="002048BA">
        <w:t>All humanitarian workers in the field to implement integrated approach policy changes, often as simple changes to practice.</w:t>
      </w:r>
    </w:p>
    <w:p w:rsidR="00FB4344" w:rsidRDefault="00FB4344" w:rsidP="00FB4344">
      <w:pPr>
        <w:pStyle w:val="NoSpacing"/>
      </w:pPr>
    </w:p>
    <w:p w:rsidR="00612D56" w:rsidRPr="00612D56" w:rsidRDefault="00612D56" w:rsidP="00612D56">
      <w:pPr>
        <w:pStyle w:val="NoSpacing"/>
        <w:numPr>
          <w:ilvl w:val="0"/>
          <w:numId w:val="18"/>
        </w:numPr>
        <w:rPr>
          <w:b/>
        </w:rPr>
      </w:pPr>
      <w:r w:rsidRPr="00612D56">
        <w:rPr>
          <w:b/>
        </w:rPr>
        <w:t>Outcome Mapping</w:t>
      </w:r>
    </w:p>
    <w:p w:rsidR="00612D56" w:rsidRPr="00612D56" w:rsidRDefault="00612D56" w:rsidP="00612D56">
      <w:pPr>
        <w:pStyle w:val="NoSpacing"/>
      </w:pPr>
      <w:r w:rsidRPr="00612D56">
        <w:t xml:space="preserve">The Project was designed and managed according to ECHO’s log frame and requirements for results reporting, </w:t>
      </w:r>
      <w:r w:rsidR="00774B0E">
        <w:t xml:space="preserve">which support </w:t>
      </w:r>
      <w:r w:rsidRPr="00612D56">
        <w:t xml:space="preserve">the management of direct service provision activities. However, </w:t>
      </w:r>
      <w:r>
        <w:t>this</w:t>
      </w:r>
      <w:r w:rsidRPr="00612D56">
        <w:t xml:space="preserve"> may not be the optimal framework for managing policy and practice advocacy activity aimed at building a more inclusive humanitarian response</w:t>
      </w:r>
      <w:r w:rsidR="00774B0E">
        <w:t xml:space="preserve"> system</w:t>
      </w:r>
      <w:r w:rsidRPr="00612D56">
        <w:t xml:space="preserve">. It may incentivize </w:t>
      </w:r>
      <w:r>
        <w:t>quantifiable</w:t>
      </w:r>
      <w:r w:rsidRPr="00612D56">
        <w:t xml:space="preserve"> short-term results above the focused engagement needed to achieve high value change in the long term. Th</w:t>
      </w:r>
      <w:r>
        <w:t>is</w:t>
      </w:r>
      <w:r w:rsidRPr="00612D56">
        <w:t xml:space="preserve"> project </w:t>
      </w:r>
      <w:r w:rsidR="00774B0E">
        <w:t>could</w:t>
      </w:r>
      <w:r w:rsidRPr="00612D56">
        <w:t xml:space="preserve"> benefit from clarification o</w:t>
      </w:r>
      <w:r w:rsidR="00774B0E">
        <w:t xml:space="preserve">f its </w:t>
      </w:r>
      <w:r>
        <w:t xml:space="preserve">overall coherence </w:t>
      </w:r>
      <w:r w:rsidRPr="00612D56">
        <w:t xml:space="preserve">to </w:t>
      </w:r>
      <w:r w:rsidR="00774B0E">
        <w:t xml:space="preserve">support </w:t>
      </w:r>
      <w:r>
        <w:t xml:space="preserve">its </w:t>
      </w:r>
      <w:r w:rsidRPr="00612D56">
        <w:t xml:space="preserve">multiple </w:t>
      </w:r>
      <w:r>
        <w:t xml:space="preserve">activities and </w:t>
      </w:r>
      <w:r w:rsidRPr="00612D56">
        <w:t xml:space="preserve">results. </w:t>
      </w:r>
    </w:p>
    <w:p w:rsidR="00612D56" w:rsidRPr="00612D56" w:rsidRDefault="00612D56" w:rsidP="00612D56">
      <w:pPr>
        <w:pStyle w:val="NoSpacing"/>
      </w:pPr>
    </w:p>
    <w:p w:rsidR="00612D56" w:rsidRPr="00612D56" w:rsidRDefault="00612D56" w:rsidP="00612D56">
      <w:pPr>
        <w:pStyle w:val="NoSpacing"/>
      </w:pPr>
      <w:r>
        <w:t xml:space="preserve">Given the above, </w:t>
      </w:r>
      <w:r w:rsidRPr="00612D56">
        <w:t xml:space="preserve">HAI should consider using Outcome Mapping to design, implement, and assess its continued </w:t>
      </w:r>
      <w:r>
        <w:t>work</w:t>
      </w:r>
      <w:r w:rsidRPr="00612D56">
        <w:t xml:space="preserve"> to build an inclusive humanitarian response. Outcome Mapping is focused on changes in the behaviours, relationships, actions or activities of the people, groups and organisations with which a programme works directly. </w:t>
      </w:r>
      <w:r w:rsidR="00774B0E">
        <w:t xml:space="preserve">The methodology’s designation of </w:t>
      </w:r>
      <w:r>
        <w:t>‘boundary partners’</w:t>
      </w:r>
      <w:r w:rsidR="00774B0E">
        <w:t xml:space="preserve"> and </w:t>
      </w:r>
      <w:r w:rsidR="007D6F53">
        <w:t>‘</w:t>
      </w:r>
      <w:r w:rsidR="007D6F53" w:rsidRPr="007D6F53">
        <w:t>strategic partners</w:t>
      </w:r>
      <w:r w:rsidR="007D6F53">
        <w:t>’</w:t>
      </w:r>
      <w:r w:rsidR="007D6F53" w:rsidRPr="007D6F53">
        <w:t xml:space="preserve"> </w:t>
      </w:r>
      <w:r w:rsidR="00774B0E">
        <w:t xml:space="preserve">seems very applicable for HAI’s work. It should also assist with the work’s overall direction, targeting of actors, and structured follow up. </w:t>
      </w:r>
    </w:p>
    <w:p w:rsidR="00612D56" w:rsidRDefault="00612D56" w:rsidP="00FB4344">
      <w:pPr>
        <w:pStyle w:val="NoSpacing"/>
      </w:pPr>
    </w:p>
    <w:p w:rsidR="00102408" w:rsidRPr="00612D56" w:rsidRDefault="00941231" w:rsidP="00102408">
      <w:pPr>
        <w:pStyle w:val="NoSpacing"/>
        <w:numPr>
          <w:ilvl w:val="0"/>
          <w:numId w:val="18"/>
        </w:numPr>
        <w:rPr>
          <w:b/>
        </w:rPr>
      </w:pPr>
      <w:r w:rsidRPr="00612D56">
        <w:rPr>
          <w:b/>
        </w:rPr>
        <w:t>ECHO/Donors</w:t>
      </w:r>
    </w:p>
    <w:p w:rsidR="00E31198" w:rsidRDefault="00E31198" w:rsidP="00E31198">
      <w:pPr>
        <w:pStyle w:val="NoSpacing"/>
      </w:pPr>
      <w:r>
        <w:t xml:space="preserve">ECHO may be </w:t>
      </w:r>
      <w:r w:rsidR="00EC6E7E">
        <w:t xml:space="preserve">considered </w:t>
      </w:r>
      <w:r>
        <w:t>the most principled and impartial of humanitarian donors. At the policy level, it is supportive of the need to build a more inclusive humanitarian response, which collects and acts upon SADD, and addresses the needs of older people and other vulnerable groups. At the field level, it has engaged actively with HAI’s policy and practice activities, including training</w:t>
      </w:r>
      <w:r w:rsidR="00EC6E7E">
        <w:t xml:space="preserve"> and needs assessment</w:t>
      </w:r>
      <w:r>
        <w:t xml:space="preserve">, under this project in diverse </w:t>
      </w:r>
      <w:r w:rsidR="00EC6E7E">
        <w:t>countries</w:t>
      </w:r>
      <w:r>
        <w:t xml:space="preserve">. ECHO </w:t>
      </w:r>
      <w:r w:rsidR="00EC6E7E">
        <w:t>funding enabled</w:t>
      </w:r>
      <w:r>
        <w:t xml:space="preserve"> this innovative project</w:t>
      </w:r>
      <w:r w:rsidR="00EC6E7E">
        <w:t xml:space="preserve"> to </w:t>
      </w:r>
      <w:r w:rsidR="001F6D17">
        <w:t xml:space="preserve">formalize activities that will bring about change and </w:t>
      </w:r>
      <w:r w:rsidR="00D16EEE">
        <w:t>has</w:t>
      </w:r>
      <w:r w:rsidR="001F6D17">
        <w:t xml:space="preserve"> </w:t>
      </w:r>
      <w:r>
        <w:t>produce</w:t>
      </w:r>
      <w:r w:rsidR="001F6D17">
        <w:t>d</w:t>
      </w:r>
      <w:r>
        <w:t xml:space="preserve"> valuable outcomes in a short time. However, ECHO has missed the opportunity to engage with this project in relation to its policy development, as DFID and other donors have; </w:t>
      </w:r>
      <w:r w:rsidR="00D16EEE">
        <w:t xml:space="preserve">so far </w:t>
      </w:r>
      <w:r>
        <w:t xml:space="preserve">neglected to include age in its own funding criteria and </w:t>
      </w:r>
      <w:r w:rsidR="001F6D17">
        <w:t xml:space="preserve">guidelines; and shown </w:t>
      </w:r>
      <w:r w:rsidR="00D16EEE">
        <w:t>less</w:t>
      </w:r>
      <w:r w:rsidR="001F6D17">
        <w:t xml:space="preserve"> interest </w:t>
      </w:r>
      <w:r>
        <w:t>in sustaining this important work</w:t>
      </w:r>
      <w:r w:rsidR="001F6D17">
        <w:t>, partly, it seems, due to staffing changes at headquarters</w:t>
      </w:r>
      <w:r>
        <w:t xml:space="preserve">.   </w:t>
      </w:r>
    </w:p>
    <w:p w:rsidR="00E31198" w:rsidRDefault="00E31198" w:rsidP="00E31198">
      <w:pPr>
        <w:pStyle w:val="NoSpacing"/>
      </w:pPr>
    </w:p>
    <w:p w:rsidR="00612D56" w:rsidRDefault="005511C0" w:rsidP="00E31198">
      <w:pPr>
        <w:pStyle w:val="NoSpacing"/>
      </w:pPr>
      <w:r>
        <w:t xml:space="preserve">ECHO should </w:t>
      </w:r>
      <w:r w:rsidR="00B72EAE">
        <w:t xml:space="preserve">fund the continuation of the work undertaken in this project. Otherwise, </w:t>
      </w:r>
      <w:r w:rsidR="00E31198">
        <w:t xml:space="preserve">ECHO should </w:t>
      </w:r>
      <w:r w:rsidR="00B72EAE">
        <w:t xml:space="preserve">find other ways to </w:t>
      </w:r>
      <w:r w:rsidR="001F6D17">
        <w:t xml:space="preserve">build upon </w:t>
      </w:r>
      <w:r w:rsidR="00E31198">
        <w:t>the value achieved in this project. Like-minded donors, such as DFID, who share an interest in building a more inclusive response</w:t>
      </w:r>
      <w:r w:rsidR="001F6D17">
        <w:t>,</w:t>
      </w:r>
      <w:r w:rsidR="00E31198">
        <w:t xml:space="preserve"> should consider how they might engage to support this work.</w:t>
      </w:r>
    </w:p>
    <w:p w:rsidR="00612D56" w:rsidRPr="00941231" w:rsidRDefault="00612D56" w:rsidP="00612D56">
      <w:pPr>
        <w:pStyle w:val="NoSpacing"/>
      </w:pPr>
    </w:p>
    <w:p w:rsidR="00102408" w:rsidRDefault="00102408" w:rsidP="00102408">
      <w:pPr>
        <w:pStyle w:val="NoSpacing"/>
        <w:ind w:left="360"/>
      </w:pPr>
    </w:p>
    <w:p w:rsidR="001A72EF" w:rsidRPr="001A72EF" w:rsidRDefault="001A72EF" w:rsidP="00941231">
      <w:pPr>
        <w:pStyle w:val="NoSpacing"/>
      </w:pPr>
      <w:r w:rsidRPr="001A72EF">
        <w:br w:type="page"/>
      </w:r>
    </w:p>
    <w:p w:rsidR="00C73D68" w:rsidRPr="00D13862" w:rsidRDefault="00C73D68" w:rsidP="00C73D68">
      <w:pPr>
        <w:pStyle w:val="Heading1"/>
        <w:rPr>
          <w:color w:val="auto"/>
        </w:rPr>
      </w:pPr>
      <w:bookmarkStart w:id="10" w:name="_Toc352225937"/>
      <w:r>
        <w:rPr>
          <w:color w:val="auto"/>
        </w:rPr>
        <w:lastRenderedPageBreak/>
        <w:t>Annex 1: Persons Consulted</w:t>
      </w:r>
      <w:bookmarkEnd w:id="10"/>
    </w:p>
    <w:p w:rsidR="00D13862" w:rsidRDefault="00D13862" w:rsidP="00D13862">
      <w:pPr>
        <w:pStyle w:val="NoSpacing"/>
      </w:pPr>
      <w:r w:rsidRPr="00D13862">
        <w:t>The following is a list of persons consulted</w:t>
      </w:r>
      <w:r w:rsidR="00DD6B92">
        <w:t xml:space="preserve"> during February and March 2013</w:t>
      </w:r>
      <w:r w:rsidRPr="00D13862">
        <w:t xml:space="preserve">. </w:t>
      </w:r>
    </w:p>
    <w:p w:rsidR="00F06ABF" w:rsidRDefault="00F06ABF" w:rsidP="00D13862">
      <w:pPr>
        <w:pStyle w:val="NoSpacing"/>
      </w:pPr>
    </w:p>
    <w:p w:rsidR="002B5569" w:rsidRDefault="002B5569" w:rsidP="002B5569">
      <w:pPr>
        <w:pStyle w:val="NoSpacing"/>
        <w:ind w:firstLine="720"/>
      </w:pPr>
      <w:r>
        <w:t xml:space="preserve">HAI </w:t>
      </w:r>
      <w:r w:rsidR="00DB1BF0">
        <w:t>Staff</w:t>
      </w:r>
    </w:p>
    <w:tbl>
      <w:tblPr>
        <w:tblStyle w:val="TableGrid"/>
        <w:tblW w:w="0" w:type="auto"/>
        <w:tblLook w:val="04A0" w:firstRow="1" w:lastRow="0" w:firstColumn="1" w:lastColumn="0" w:noHBand="0" w:noVBand="1"/>
      </w:tblPr>
      <w:tblGrid>
        <w:gridCol w:w="817"/>
        <w:gridCol w:w="1916"/>
        <w:gridCol w:w="3361"/>
        <w:gridCol w:w="33"/>
        <w:gridCol w:w="3115"/>
      </w:tblGrid>
      <w:tr w:rsidR="00AD760E" w:rsidRPr="00B32FFF" w:rsidTr="00AD760E">
        <w:trPr>
          <w:trHeight w:val="300"/>
        </w:trPr>
        <w:tc>
          <w:tcPr>
            <w:tcW w:w="817" w:type="dxa"/>
          </w:tcPr>
          <w:p w:rsidR="00AD760E" w:rsidRPr="000C237D" w:rsidRDefault="00AD760E" w:rsidP="00AD760E">
            <w:pPr>
              <w:pStyle w:val="NoSpacing"/>
              <w:ind w:left="360"/>
              <w:jc w:val="both"/>
              <w:rPr>
                <w:b/>
              </w:rPr>
            </w:pPr>
            <w:r>
              <w:rPr>
                <w:b/>
              </w:rPr>
              <w:t>1</w:t>
            </w:r>
          </w:p>
        </w:tc>
        <w:tc>
          <w:tcPr>
            <w:tcW w:w="1916" w:type="dxa"/>
            <w:noWrap/>
            <w:hideMark/>
          </w:tcPr>
          <w:p w:rsidR="00AD760E" w:rsidRPr="000C237D" w:rsidRDefault="00AD760E" w:rsidP="00B32FFF">
            <w:pPr>
              <w:pStyle w:val="NoSpacing"/>
              <w:rPr>
                <w:b/>
              </w:rPr>
            </w:pPr>
            <w:r w:rsidRPr="000C237D">
              <w:rPr>
                <w:b/>
              </w:rPr>
              <w:t xml:space="preserve">Marcus Skinner </w:t>
            </w:r>
          </w:p>
        </w:tc>
        <w:tc>
          <w:tcPr>
            <w:tcW w:w="3394" w:type="dxa"/>
            <w:gridSpan w:val="2"/>
            <w:noWrap/>
            <w:hideMark/>
          </w:tcPr>
          <w:p w:rsidR="00AD760E" w:rsidRPr="00B32FFF" w:rsidRDefault="00AD760E" w:rsidP="00B32FFF">
            <w:pPr>
              <w:pStyle w:val="NoSpacing"/>
            </w:pPr>
            <w:r w:rsidRPr="00B32FFF">
              <w:t>Humanitarian Policy Coordinator</w:t>
            </w:r>
          </w:p>
        </w:tc>
        <w:tc>
          <w:tcPr>
            <w:tcW w:w="3115" w:type="dxa"/>
            <w:noWrap/>
            <w:hideMark/>
          </w:tcPr>
          <w:p w:rsidR="00AD760E" w:rsidRPr="00B32FFF" w:rsidRDefault="00AD760E" w:rsidP="00B32FFF">
            <w:pPr>
              <w:pStyle w:val="NoSpacing"/>
            </w:pPr>
            <w:r w:rsidRPr="00B32FFF">
              <w:t>HAI Emergencies</w:t>
            </w:r>
          </w:p>
        </w:tc>
      </w:tr>
      <w:tr w:rsidR="00AD760E" w:rsidRPr="00B32FFF" w:rsidTr="00AD760E">
        <w:trPr>
          <w:trHeight w:val="300"/>
        </w:trPr>
        <w:tc>
          <w:tcPr>
            <w:tcW w:w="817" w:type="dxa"/>
          </w:tcPr>
          <w:p w:rsidR="00AD760E" w:rsidRPr="000C237D" w:rsidRDefault="00AD760E" w:rsidP="00AD760E">
            <w:pPr>
              <w:pStyle w:val="NoSpacing"/>
              <w:ind w:left="360"/>
              <w:jc w:val="both"/>
              <w:rPr>
                <w:b/>
              </w:rPr>
            </w:pPr>
            <w:r>
              <w:rPr>
                <w:b/>
              </w:rPr>
              <w:t>2</w:t>
            </w:r>
          </w:p>
        </w:tc>
        <w:tc>
          <w:tcPr>
            <w:tcW w:w="1916" w:type="dxa"/>
            <w:noWrap/>
            <w:hideMark/>
          </w:tcPr>
          <w:p w:rsidR="00AD760E" w:rsidRPr="000C237D" w:rsidRDefault="00AD760E" w:rsidP="00B32FFF">
            <w:pPr>
              <w:pStyle w:val="NoSpacing"/>
              <w:rPr>
                <w:b/>
              </w:rPr>
            </w:pPr>
            <w:r w:rsidRPr="000C237D">
              <w:rPr>
                <w:b/>
              </w:rPr>
              <w:t xml:space="preserve">Frances Stevenson </w:t>
            </w:r>
          </w:p>
        </w:tc>
        <w:tc>
          <w:tcPr>
            <w:tcW w:w="3394" w:type="dxa"/>
            <w:gridSpan w:val="2"/>
            <w:noWrap/>
            <w:hideMark/>
          </w:tcPr>
          <w:p w:rsidR="00AD760E" w:rsidRPr="00B32FFF" w:rsidRDefault="00AD760E" w:rsidP="00B32FFF">
            <w:pPr>
              <w:pStyle w:val="NoSpacing"/>
            </w:pPr>
            <w:r w:rsidRPr="00B32FFF">
              <w:t>Head of Emergencies</w:t>
            </w:r>
          </w:p>
        </w:tc>
        <w:tc>
          <w:tcPr>
            <w:tcW w:w="3115" w:type="dxa"/>
            <w:noWrap/>
            <w:hideMark/>
          </w:tcPr>
          <w:p w:rsidR="00AD760E" w:rsidRPr="00B32FFF" w:rsidRDefault="00AD760E" w:rsidP="00B32FFF">
            <w:pPr>
              <w:pStyle w:val="NoSpacing"/>
            </w:pPr>
            <w:r w:rsidRPr="00B32FFF">
              <w:t>HAI Emergencies</w:t>
            </w:r>
          </w:p>
        </w:tc>
      </w:tr>
      <w:tr w:rsidR="00AD760E" w:rsidRPr="00B32FFF" w:rsidTr="00AD760E">
        <w:trPr>
          <w:trHeight w:val="300"/>
        </w:trPr>
        <w:tc>
          <w:tcPr>
            <w:tcW w:w="817" w:type="dxa"/>
          </w:tcPr>
          <w:p w:rsidR="00AD760E" w:rsidRPr="000C237D" w:rsidRDefault="00AD760E" w:rsidP="00AD760E">
            <w:pPr>
              <w:pStyle w:val="NoSpacing"/>
              <w:ind w:left="360"/>
              <w:jc w:val="both"/>
              <w:rPr>
                <w:b/>
              </w:rPr>
            </w:pPr>
            <w:r>
              <w:rPr>
                <w:b/>
              </w:rPr>
              <w:t>3</w:t>
            </w:r>
          </w:p>
        </w:tc>
        <w:tc>
          <w:tcPr>
            <w:tcW w:w="1916" w:type="dxa"/>
            <w:noWrap/>
            <w:hideMark/>
          </w:tcPr>
          <w:p w:rsidR="00AD760E" w:rsidRPr="000C237D" w:rsidRDefault="00AD760E" w:rsidP="00B32FFF">
            <w:pPr>
              <w:pStyle w:val="NoSpacing"/>
              <w:rPr>
                <w:b/>
              </w:rPr>
            </w:pPr>
            <w:r w:rsidRPr="000C237D">
              <w:rPr>
                <w:b/>
              </w:rPr>
              <w:t>Jo Wells</w:t>
            </w:r>
          </w:p>
        </w:tc>
        <w:tc>
          <w:tcPr>
            <w:tcW w:w="3394" w:type="dxa"/>
            <w:gridSpan w:val="2"/>
            <w:noWrap/>
            <w:hideMark/>
          </w:tcPr>
          <w:p w:rsidR="00AD760E" w:rsidRPr="00B32FFF" w:rsidRDefault="00AD760E" w:rsidP="00B32FFF">
            <w:pPr>
              <w:pStyle w:val="NoSpacing"/>
            </w:pPr>
            <w:r w:rsidRPr="00B32FFF">
              <w:t>Policy Manager (former)</w:t>
            </w:r>
          </w:p>
        </w:tc>
        <w:tc>
          <w:tcPr>
            <w:tcW w:w="3115" w:type="dxa"/>
            <w:noWrap/>
            <w:hideMark/>
          </w:tcPr>
          <w:p w:rsidR="00AD760E" w:rsidRPr="00B32FFF" w:rsidRDefault="00AD760E" w:rsidP="00B32FFF">
            <w:pPr>
              <w:pStyle w:val="NoSpacing"/>
            </w:pPr>
            <w:r w:rsidRPr="00B32FFF">
              <w:t>HAI Emergencies</w:t>
            </w:r>
          </w:p>
        </w:tc>
      </w:tr>
      <w:tr w:rsidR="00AD760E" w:rsidRPr="00B32FFF" w:rsidTr="00AD760E">
        <w:trPr>
          <w:trHeight w:val="300"/>
        </w:trPr>
        <w:tc>
          <w:tcPr>
            <w:tcW w:w="817" w:type="dxa"/>
          </w:tcPr>
          <w:p w:rsidR="00AD760E" w:rsidRPr="000C237D" w:rsidRDefault="00AD760E" w:rsidP="00AD760E">
            <w:pPr>
              <w:pStyle w:val="NoSpacing"/>
              <w:ind w:left="360"/>
              <w:jc w:val="both"/>
              <w:rPr>
                <w:b/>
              </w:rPr>
            </w:pPr>
            <w:r>
              <w:rPr>
                <w:b/>
              </w:rPr>
              <w:t>4</w:t>
            </w:r>
          </w:p>
        </w:tc>
        <w:tc>
          <w:tcPr>
            <w:tcW w:w="1916" w:type="dxa"/>
            <w:noWrap/>
            <w:hideMark/>
          </w:tcPr>
          <w:p w:rsidR="00AD760E" w:rsidRPr="000C237D" w:rsidRDefault="00AD760E" w:rsidP="00B32FFF">
            <w:pPr>
              <w:pStyle w:val="NoSpacing"/>
              <w:rPr>
                <w:b/>
              </w:rPr>
            </w:pPr>
            <w:r w:rsidRPr="000C237D">
              <w:rPr>
                <w:b/>
              </w:rPr>
              <w:t xml:space="preserve">Richard </w:t>
            </w:r>
            <w:proofErr w:type="spellStart"/>
            <w:r w:rsidRPr="000C237D">
              <w:rPr>
                <w:b/>
              </w:rPr>
              <w:t>Blewitt</w:t>
            </w:r>
            <w:proofErr w:type="spellEnd"/>
          </w:p>
        </w:tc>
        <w:tc>
          <w:tcPr>
            <w:tcW w:w="3394" w:type="dxa"/>
            <w:gridSpan w:val="2"/>
            <w:noWrap/>
            <w:hideMark/>
          </w:tcPr>
          <w:p w:rsidR="00AD760E" w:rsidRPr="00B32FFF" w:rsidRDefault="00AD760E" w:rsidP="00B32FFF">
            <w:pPr>
              <w:pStyle w:val="NoSpacing"/>
            </w:pPr>
            <w:r w:rsidRPr="00B32FFF">
              <w:t>E</w:t>
            </w:r>
            <w:r>
              <w:t xml:space="preserve">xecutive </w:t>
            </w:r>
            <w:r w:rsidRPr="00B32FFF">
              <w:t>D</w:t>
            </w:r>
            <w:r>
              <w:t>irector</w:t>
            </w:r>
          </w:p>
        </w:tc>
        <w:tc>
          <w:tcPr>
            <w:tcW w:w="3115" w:type="dxa"/>
            <w:noWrap/>
            <w:hideMark/>
          </w:tcPr>
          <w:p w:rsidR="00AD760E" w:rsidRPr="00B32FFF" w:rsidRDefault="00AD760E" w:rsidP="00B32FFF">
            <w:pPr>
              <w:pStyle w:val="NoSpacing"/>
            </w:pPr>
            <w:r w:rsidRPr="00B32FFF">
              <w:t>HAI</w:t>
            </w:r>
          </w:p>
        </w:tc>
      </w:tr>
      <w:tr w:rsidR="00AD760E" w:rsidRPr="00B32FFF" w:rsidTr="00AD760E">
        <w:trPr>
          <w:trHeight w:val="300"/>
        </w:trPr>
        <w:tc>
          <w:tcPr>
            <w:tcW w:w="817" w:type="dxa"/>
          </w:tcPr>
          <w:p w:rsidR="00AD760E" w:rsidRPr="000C237D" w:rsidRDefault="00AD760E" w:rsidP="00AD760E">
            <w:pPr>
              <w:pStyle w:val="NoSpacing"/>
              <w:ind w:left="360"/>
              <w:jc w:val="both"/>
              <w:rPr>
                <w:b/>
              </w:rPr>
            </w:pPr>
            <w:r>
              <w:rPr>
                <w:b/>
              </w:rPr>
              <w:t>5</w:t>
            </w:r>
          </w:p>
        </w:tc>
        <w:tc>
          <w:tcPr>
            <w:tcW w:w="1916" w:type="dxa"/>
            <w:noWrap/>
            <w:hideMark/>
          </w:tcPr>
          <w:p w:rsidR="00AD760E" w:rsidRPr="000C237D" w:rsidRDefault="00AD760E" w:rsidP="00B32FFF">
            <w:pPr>
              <w:pStyle w:val="NoSpacing"/>
              <w:rPr>
                <w:b/>
              </w:rPr>
            </w:pPr>
            <w:proofErr w:type="spellStart"/>
            <w:r w:rsidRPr="000C237D">
              <w:rPr>
                <w:b/>
              </w:rPr>
              <w:t>Piero</w:t>
            </w:r>
            <w:proofErr w:type="spellEnd"/>
            <w:r w:rsidRPr="000C237D">
              <w:rPr>
                <w:b/>
              </w:rPr>
              <w:t xml:space="preserve"> </w:t>
            </w:r>
            <w:proofErr w:type="spellStart"/>
            <w:r w:rsidRPr="000C237D">
              <w:rPr>
                <w:b/>
              </w:rPr>
              <w:t>Calvi-Parisetti</w:t>
            </w:r>
            <w:proofErr w:type="spellEnd"/>
            <w:r w:rsidRPr="000C237D">
              <w:rPr>
                <w:b/>
              </w:rPr>
              <w:t xml:space="preserve"> </w:t>
            </w:r>
          </w:p>
        </w:tc>
        <w:tc>
          <w:tcPr>
            <w:tcW w:w="3394" w:type="dxa"/>
            <w:gridSpan w:val="2"/>
            <w:noWrap/>
            <w:hideMark/>
          </w:tcPr>
          <w:p w:rsidR="00AD760E" w:rsidRPr="00B32FFF" w:rsidRDefault="00AD760E" w:rsidP="00B32FFF">
            <w:pPr>
              <w:pStyle w:val="NoSpacing"/>
            </w:pPr>
            <w:r w:rsidRPr="00B32FFF">
              <w:t>Humanitarian Advisor</w:t>
            </w:r>
          </w:p>
        </w:tc>
        <w:tc>
          <w:tcPr>
            <w:tcW w:w="3115" w:type="dxa"/>
            <w:noWrap/>
            <w:hideMark/>
          </w:tcPr>
          <w:p w:rsidR="00AD760E" w:rsidRPr="00B32FFF" w:rsidRDefault="00AD760E" w:rsidP="00B32FFF">
            <w:pPr>
              <w:pStyle w:val="NoSpacing"/>
            </w:pPr>
            <w:r w:rsidRPr="00B32FFF">
              <w:t>HAI Emergencies (GVA)</w:t>
            </w:r>
          </w:p>
        </w:tc>
      </w:tr>
      <w:tr w:rsidR="00AD760E" w:rsidRPr="00B32FFF" w:rsidTr="00AD760E">
        <w:trPr>
          <w:trHeight w:val="300"/>
        </w:trPr>
        <w:tc>
          <w:tcPr>
            <w:tcW w:w="817" w:type="dxa"/>
          </w:tcPr>
          <w:p w:rsidR="00AD760E" w:rsidRPr="000C237D" w:rsidRDefault="00AD760E" w:rsidP="00AD760E">
            <w:pPr>
              <w:pStyle w:val="NoSpacing"/>
              <w:ind w:left="360"/>
              <w:jc w:val="both"/>
              <w:rPr>
                <w:b/>
              </w:rPr>
            </w:pPr>
            <w:r>
              <w:rPr>
                <w:b/>
              </w:rPr>
              <w:t>6</w:t>
            </w:r>
          </w:p>
        </w:tc>
        <w:tc>
          <w:tcPr>
            <w:tcW w:w="1916" w:type="dxa"/>
            <w:noWrap/>
            <w:hideMark/>
          </w:tcPr>
          <w:p w:rsidR="00AD760E" w:rsidRPr="000C237D" w:rsidRDefault="00AD760E" w:rsidP="00B32FFF">
            <w:pPr>
              <w:pStyle w:val="NoSpacing"/>
              <w:rPr>
                <w:b/>
              </w:rPr>
            </w:pPr>
            <w:r w:rsidRPr="000C237D">
              <w:rPr>
                <w:b/>
              </w:rPr>
              <w:t>Samantha</w:t>
            </w:r>
            <w:r w:rsidRPr="000C237D">
              <w:rPr>
                <w:b/>
              </w:rPr>
              <w:br/>
            </w:r>
            <w:proofErr w:type="spellStart"/>
            <w:r w:rsidRPr="000C237D">
              <w:rPr>
                <w:b/>
              </w:rPr>
              <w:t>Chattaraj</w:t>
            </w:r>
            <w:proofErr w:type="spellEnd"/>
            <w:r w:rsidRPr="000C237D">
              <w:rPr>
                <w:b/>
              </w:rPr>
              <w:t xml:space="preserve"> </w:t>
            </w:r>
          </w:p>
        </w:tc>
        <w:tc>
          <w:tcPr>
            <w:tcW w:w="3394" w:type="dxa"/>
            <w:gridSpan w:val="2"/>
            <w:noWrap/>
            <w:hideMark/>
          </w:tcPr>
          <w:p w:rsidR="00AD760E" w:rsidRPr="00B32FFF" w:rsidRDefault="00AD760E" w:rsidP="00B32FFF">
            <w:pPr>
              <w:pStyle w:val="NoSpacing"/>
            </w:pPr>
            <w:proofErr w:type="spellStart"/>
            <w:r w:rsidRPr="00B32FFF">
              <w:t>Secondee</w:t>
            </w:r>
            <w:proofErr w:type="spellEnd"/>
          </w:p>
        </w:tc>
        <w:tc>
          <w:tcPr>
            <w:tcW w:w="3115" w:type="dxa"/>
            <w:noWrap/>
            <w:hideMark/>
          </w:tcPr>
          <w:p w:rsidR="00AD760E" w:rsidRPr="00B32FFF" w:rsidRDefault="00AD760E" w:rsidP="00B32FFF">
            <w:pPr>
              <w:pStyle w:val="NoSpacing"/>
            </w:pPr>
            <w:r w:rsidRPr="00B32FFF">
              <w:t>HAI/GFSC</w:t>
            </w:r>
          </w:p>
        </w:tc>
      </w:tr>
      <w:tr w:rsidR="00AD760E" w:rsidRPr="00B32FFF" w:rsidTr="00AD760E">
        <w:trPr>
          <w:trHeight w:val="300"/>
        </w:trPr>
        <w:tc>
          <w:tcPr>
            <w:tcW w:w="817" w:type="dxa"/>
          </w:tcPr>
          <w:p w:rsidR="00AD760E" w:rsidRPr="000C237D" w:rsidRDefault="00AD760E" w:rsidP="00AD760E">
            <w:pPr>
              <w:pStyle w:val="NoSpacing"/>
              <w:jc w:val="both"/>
              <w:rPr>
                <w:b/>
              </w:rPr>
            </w:pPr>
            <w:r>
              <w:rPr>
                <w:b/>
              </w:rPr>
              <w:t xml:space="preserve"> </w:t>
            </w:r>
            <w:r w:rsidR="00DB1BF0">
              <w:rPr>
                <w:b/>
              </w:rPr>
              <w:t xml:space="preserve">      </w:t>
            </w:r>
            <w:r>
              <w:rPr>
                <w:b/>
              </w:rPr>
              <w:t>7</w:t>
            </w:r>
          </w:p>
        </w:tc>
        <w:tc>
          <w:tcPr>
            <w:tcW w:w="1916" w:type="dxa"/>
            <w:noWrap/>
            <w:hideMark/>
          </w:tcPr>
          <w:p w:rsidR="00AD760E" w:rsidRPr="000C237D" w:rsidRDefault="00AD760E" w:rsidP="00B32FFF">
            <w:pPr>
              <w:pStyle w:val="NoSpacing"/>
              <w:rPr>
                <w:b/>
              </w:rPr>
            </w:pPr>
            <w:r w:rsidRPr="000C237D">
              <w:rPr>
                <w:b/>
              </w:rPr>
              <w:t xml:space="preserve">Pascale Fritsch </w:t>
            </w:r>
          </w:p>
        </w:tc>
        <w:tc>
          <w:tcPr>
            <w:tcW w:w="3394" w:type="dxa"/>
            <w:gridSpan w:val="2"/>
            <w:noWrap/>
            <w:hideMark/>
          </w:tcPr>
          <w:p w:rsidR="00AD760E" w:rsidRPr="00B32FFF" w:rsidRDefault="00AD760E" w:rsidP="00B32FFF">
            <w:pPr>
              <w:pStyle w:val="NoSpacing"/>
            </w:pPr>
            <w:r w:rsidRPr="00B32FFF">
              <w:t xml:space="preserve">Emergency Health Adviser </w:t>
            </w:r>
          </w:p>
        </w:tc>
        <w:tc>
          <w:tcPr>
            <w:tcW w:w="3115" w:type="dxa"/>
            <w:noWrap/>
            <w:hideMark/>
          </w:tcPr>
          <w:p w:rsidR="00AD760E" w:rsidRPr="00B32FFF" w:rsidRDefault="00AD760E" w:rsidP="00B32FFF">
            <w:pPr>
              <w:pStyle w:val="NoSpacing"/>
            </w:pPr>
            <w:r w:rsidRPr="00B32FFF">
              <w:t>HAI</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8</w:t>
            </w:r>
          </w:p>
        </w:tc>
        <w:tc>
          <w:tcPr>
            <w:tcW w:w="1916" w:type="dxa"/>
            <w:noWrap/>
            <w:hideMark/>
          </w:tcPr>
          <w:p w:rsidR="00AD760E" w:rsidRPr="000C237D" w:rsidRDefault="00AD760E" w:rsidP="00B32FFF">
            <w:pPr>
              <w:pStyle w:val="NoSpacing"/>
              <w:rPr>
                <w:b/>
              </w:rPr>
            </w:pPr>
            <w:r w:rsidRPr="000C237D">
              <w:rPr>
                <w:b/>
              </w:rPr>
              <w:t xml:space="preserve">Andrew </w:t>
            </w:r>
            <w:proofErr w:type="spellStart"/>
            <w:r w:rsidRPr="000C237D">
              <w:rPr>
                <w:b/>
              </w:rPr>
              <w:t>Collodel</w:t>
            </w:r>
            <w:proofErr w:type="spellEnd"/>
            <w:r w:rsidRPr="000C237D">
              <w:rPr>
                <w:b/>
              </w:rPr>
              <w:t xml:space="preserve"> </w:t>
            </w:r>
          </w:p>
        </w:tc>
        <w:tc>
          <w:tcPr>
            <w:tcW w:w="3394" w:type="dxa"/>
            <w:gridSpan w:val="2"/>
            <w:noWrap/>
            <w:hideMark/>
          </w:tcPr>
          <w:p w:rsidR="00AD760E" w:rsidRPr="00B32FFF" w:rsidRDefault="00AD760E" w:rsidP="00B32FFF">
            <w:pPr>
              <w:pStyle w:val="NoSpacing"/>
            </w:pPr>
            <w:r w:rsidRPr="00B32FFF">
              <w:t xml:space="preserve">Emergency Livelihoods Coordinator </w:t>
            </w:r>
          </w:p>
        </w:tc>
        <w:tc>
          <w:tcPr>
            <w:tcW w:w="3115" w:type="dxa"/>
            <w:noWrap/>
            <w:hideMark/>
          </w:tcPr>
          <w:p w:rsidR="00AD760E" w:rsidRPr="00B32FFF" w:rsidRDefault="00AD760E" w:rsidP="00B32FFF">
            <w:pPr>
              <w:pStyle w:val="NoSpacing"/>
            </w:pPr>
            <w:r w:rsidRPr="00B32FFF">
              <w:t xml:space="preserve">HAI </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9</w:t>
            </w:r>
          </w:p>
        </w:tc>
        <w:tc>
          <w:tcPr>
            <w:tcW w:w="1916" w:type="dxa"/>
            <w:noWrap/>
            <w:hideMark/>
          </w:tcPr>
          <w:p w:rsidR="00AD760E" w:rsidRPr="000C237D" w:rsidRDefault="00AD760E" w:rsidP="00B32FFF">
            <w:pPr>
              <w:pStyle w:val="NoSpacing"/>
              <w:rPr>
                <w:b/>
              </w:rPr>
            </w:pPr>
            <w:r w:rsidRPr="000C237D">
              <w:rPr>
                <w:b/>
              </w:rPr>
              <w:t xml:space="preserve">Boris </w:t>
            </w:r>
            <w:proofErr w:type="spellStart"/>
            <w:r w:rsidRPr="000C237D">
              <w:rPr>
                <w:b/>
              </w:rPr>
              <w:t>Arist</w:t>
            </w:r>
            <w:r w:rsidR="00037CF1" w:rsidRPr="00037CF1">
              <w:rPr>
                <w:b/>
              </w:rPr>
              <w:t>í</w:t>
            </w:r>
            <w:r w:rsidRPr="000C237D">
              <w:rPr>
                <w:b/>
              </w:rPr>
              <w:t>n</w:t>
            </w:r>
            <w:proofErr w:type="spellEnd"/>
            <w:r w:rsidRPr="000C237D">
              <w:rPr>
                <w:b/>
              </w:rPr>
              <w:t xml:space="preserve"> </w:t>
            </w:r>
            <w:r w:rsidR="00DD6B92" w:rsidRPr="00DD6B92">
              <w:rPr>
                <w:b/>
              </w:rPr>
              <w:t>González</w:t>
            </w:r>
          </w:p>
        </w:tc>
        <w:tc>
          <w:tcPr>
            <w:tcW w:w="3394" w:type="dxa"/>
            <w:gridSpan w:val="2"/>
            <w:noWrap/>
            <w:hideMark/>
          </w:tcPr>
          <w:p w:rsidR="00AD760E" w:rsidRPr="00B32FFF" w:rsidRDefault="00AD760E" w:rsidP="00B32FFF">
            <w:pPr>
              <w:pStyle w:val="NoSpacing"/>
            </w:pPr>
            <w:r w:rsidRPr="00B32FFF">
              <w:t>Needs Assessment Adviser (former)</w:t>
            </w:r>
          </w:p>
        </w:tc>
        <w:tc>
          <w:tcPr>
            <w:tcW w:w="3115" w:type="dxa"/>
            <w:noWrap/>
            <w:hideMark/>
          </w:tcPr>
          <w:p w:rsidR="00AD760E" w:rsidRPr="00B32FFF" w:rsidRDefault="00AD760E" w:rsidP="00B32FFF">
            <w:pPr>
              <w:pStyle w:val="NoSpacing"/>
            </w:pPr>
            <w:r w:rsidRPr="00B32FFF">
              <w:t xml:space="preserve">HAI </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10</w:t>
            </w:r>
          </w:p>
        </w:tc>
        <w:tc>
          <w:tcPr>
            <w:tcW w:w="1916" w:type="dxa"/>
            <w:noWrap/>
            <w:hideMark/>
          </w:tcPr>
          <w:p w:rsidR="00AD760E" w:rsidRPr="000C237D" w:rsidRDefault="00AD760E" w:rsidP="00B32FFF">
            <w:pPr>
              <w:pStyle w:val="NoSpacing"/>
              <w:rPr>
                <w:b/>
              </w:rPr>
            </w:pPr>
            <w:r w:rsidRPr="000C237D">
              <w:rPr>
                <w:b/>
              </w:rPr>
              <w:t xml:space="preserve">Sonja van </w:t>
            </w:r>
            <w:proofErr w:type="spellStart"/>
            <w:r w:rsidRPr="000C237D">
              <w:rPr>
                <w:b/>
              </w:rPr>
              <w:t>Osch</w:t>
            </w:r>
            <w:proofErr w:type="spellEnd"/>
          </w:p>
        </w:tc>
        <w:tc>
          <w:tcPr>
            <w:tcW w:w="3394" w:type="dxa"/>
            <w:gridSpan w:val="2"/>
            <w:noWrap/>
            <w:hideMark/>
          </w:tcPr>
          <w:p w:rsidR="00AD760E" w:rsidRPr="00B32FFF" w:rsidRDefault="00AD760E" w:rsidP="00B32FFF">
            <w:pPr>
              <w:pStyle w:val="NoSpacing"/>
            </w:pPr>
            <w:r w:rsidRPr="00B32FFF">
              <w:t xml:space="preserve">Country Director, </w:t>
            </w:r>
            <w:proofErr w:type="spellStart"/>
            <w:r w:rsidRPr="00B32FFF">
              <w:t>oPt</w:t>
            </w:r>
            <w:proofErr w:type="spellEnd"/>
          </w:p>
        </w:tc>
        <w:tc>
          <w:tcPr>
            <w:tcW w:w="3115" w:type="dxa"/>
            <w:noWrap/>
            <w:hideMark/>
          </w:tcPr>
          <w:p w:rsidR="00AD760E" w:rsidRPr="00B32FFF" w:rsidRDefault="00AD760E" w:rsidP="00B32FFF">
            <w:pPr>
              <w:pStyle w:val="NoSpacing"/>
            </w:pPr>
            <w:r w:rsidRPr="00B32FFF">
              <w:t>HAI</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11</w:t>
            </w:r>
          </w:p>
        </w:tc>
        <w:tc>
          <w:tcPr>
            <w:tcW w:w="1916" w:type="dxa"/>
            <w:noWrap/>
            <w:hideMark/>
          </w:tcPr>
          <w:p w:rsidR="00AD760E" w:rsidRPr="000C237D" w:rsidRDefault="00AD760E" w:rsidP="00B32FFF">
            <w:pPr>
              <w:pStyle w:val="NoSpacing"/>
              <w:rPr>
                <w:b/>
              </w:rPr>
            </w:pPr>
            <w:r w:rsidRPr="000C237D">
              <w:rPr>
                <w:b/>
              </w:rPr>
              <w:t xml:space="preserve">Rhea </w:t>
            </w:r>
            <w:proofErr w:type="spellStart"/>
            <w:r w:rsidRPr="000C237D">
              <w:rPr>
                <w:b/>
              </w:rPr>
              <w:t>Bhardwaj</w:t>
            </w:r>
            <w:proofErr w:type="spellEnd"/>
            <w:r w:rsidRPr="000C237D">
              <w:rPr>
                <w:b/>
              </w:rPr>
              <w:t xml:space="preserve"> </w:t>
            </w:r>
          </w:p>
        </w:tc>
        <w:tc>
          <w:tcPr>
            <w:tcW w:w="3394" w:type="dxa"/>
            <w:gridSpan w:val="2"/>
            <w:noWrap/>
            <w:hideMark/>
          </w:tcPr>
          <w:p w:rsidR="00AD760E" w:rsidRPr="00B32FFF" w:rsidRDefault="00AD760E" w:rsidP="00B32FFF">
            <w:pPr>
              <w:pStyle w:val="NoSpacing"/>
            </w:pPr>
            <w:r w:rsidRPr="00B32FFF">
              <w:t>Humanitarian Training Coordinator</w:t>
            </w:r>
          </w:p>
        </w:tc>
        <w:tc>
          <w:tcPr>
            <w:tcW w:w="3115" w:type="dxa"/>
            <w:noWrap/>
            <w:hideMark/>
          </w:tcPr>
          <w:p w:rsidR="00AD760E" w:rsidRPr="00B32FFF" w:rsidRDefault="00AD760E" w:rsidP="00B32FFF">
            <w:pPr>
              <w:pStyle w:val="NoSpacing"/>
            </w:pPr>
            <w:r w:rsidRPr="00B32FFF">
              <w:t>HAI</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12</w:t>
            </w:r>
          </w:p>
        </w:tc>
        <w:tc>
          <w:tcPr>
            <w:tcW w:w="1916" w:type="dxa"/>
            <w:noWrap/>
            <w:hideMark/>
          </w:tcPr>
          <w:p w:rsidR="00AD760E" w:rsidRPr="000C237D" w:rsidRDefault="00AD760E" w:rsidP="00B32FFF">
            <w:pPr>
              <w:pStyle w:val="NoSpacing"/>
              <w:rPr>
                <w:b/>
              </w:rPr>
            </w:pPr>
            <w:r w:rsidRPr="000C237D">
              <w:rPr>
                <w:b/>
              </w:rPr>
              <w:t>Fiona Clark</w:t>
            </w:r>
          </w:p>
        </w:tc>
        <w:tc>
          <w:tcPr>
            <w:tcW w:w="3394" w:type="dxa"/>
            <w:gridSpan w:val="2"/>
            <w:noWrap/>
            <w:hideMark/>
          </w:tcPr>
          <w:p w:rsidR="00AD760E" w:rsidRPr="00B32FFF" w:rsidRDefault="00391455" w:rsidP="00B32FFF">
            <w:pPr>
              <w:pStyle w:val="NoSpacing"/>
            </w:pPr>
            <w:r>
              <w:t>HAI Regional Manager</w:t>
            </w:r>
          </w:p>
        </w:tc>
        <w:tc>
          <w:tcPr>
            <w:tcW w:w="3115" w:type="dxa"/>
            <w:noWrap/>
            <w:hideMark/>
          </w:tcPr>
          <w:p w:rsidR="00AD760E" w:rsidRPr="00B32FFF" w:rsidRDefault="00AD760E" w:rsidP="00B32FFF">
            <w:pPr>
              <w:pStyle w:val="NoSpacing"/>
            </w:pPr>
            <w:r w:rsidRPr="00B32FFF">
              <w:t>HAI Nairobi</w:t>
            </w:r>
          </w:p>
        </w:tc>
      </w:tr>
      <w:tr w:rsidR="00AD760E" w:rsidRPr="00B32FFF" w:rsidTr="00AD760E">
        <w:trPr>
          <w:trHeight w:val="300"/>
        </w:trPr>
        <w:tc>
          <w:tcPr>
            <w:tcW w:w="817" w:type="dxa"/>
            <w:tcBorders>
              <w:bottom w:val="single" w:sz="4" w:space="0" w:color="auto"/>
            </w:tcBorders>
          </w:tcPr>
          <w:p w:rsidR="00AD760E" w:rsidRPr="000C237D" w:rsidRDefault="00AD760E" w:rsidP="00AD760E">
            <w:pPr>
              <w:pStyle w:val="NoSpacing"/>
              <w:ind w:left="360"/>
              <w:rPr>
                <w:b/>
              </w:rPr>
            </w:pPr>
            <w:r>
              <w:rPr>
                <w:b/>
              </w:rPr>
              <w:t>13</w:t>
            </w:r>
          </w:p>
        </w:tc>
        <w:tc>
          <w:tcPr>
            <w:tcW w:w="1916" w:type="dxa"/>
            <w:tcBorders>
              <w:bottom w:val="single" w:sz="4" w:space="0" w:color="auto"/>
            </w:tcBorders>
            <w:noWrap/>
            <w:hideMark/>
          </w:tcPr>
          <w:p w:rsidR="00AD760E" w:rsidRPr="000C237D" w:rsidRDefault="00AD760E" w:rsidP="00B32FFF">
            <w:pPr>
              <w:pStyle w:val="NoSpacing"/>
              <w:rPr>
                <w:b/>
              </w:rPr>
            </w:pPr>
            <w:r w:rsidRPr="000C237D">
              <w:rPr>
                <w:b/>
              </w:rPr>
              <w:t xml:space="preserve">Luciana </w:t>
            </w:r>
            <w:proofErr w:type="spellStart"/>
            <w:r w:rsidRPr="000C237D">
              <w:rPr>
                <w:b/>
              </w:rPr>
              <w:t>Caffarelli</w:t>
            </w:r>
            <w:proofErr w:type="spellEnd"/>
            <w:r w:rsidRPr="000C237D">
              <w:rPr>
                <w:b/>
              </w:rPr>
              <w:t xml:space="preserve"> </w:t>
            </w:r>
          </w:p>
        </w:tc>
        <w:tc>
          <w:tcPr>
            <w:tcW w:w="3394" w:type="dxa"/>
            <w:gridSpan w:val="2"/>
            <w:tcBorders>
              <w:bottom w:val="single" w:sz="4" w:space="0" w:color="auto"/>
            </w:tcBorders>
            <w:noWrap/>
            <w:hideMark/>
          </w:tcPr>
          <w:p w:rsidR="00AD760E" w:rsidRPr="00B32FFF" w:rsidRDefault="00AD760E" w:rsidP="00B32FFF">
            <w:pPr>
              <w:pStyle w:val="NoSpacing"/>
            </w:pPr>
            <w:r w:rsidRPr="00B32FFF">
              <w:t>Advocacy Manager DRC</w:t>
            </w:r>
          </w:p>
        </w:tc>
        <w:tc>
          <w:tcPr>
            <w:tcW w:w="3115" w:type="dxa"/>
            <w:tcBorders>
              <w:bottom w:val="single" w:sz="4" w:space="0" w:color="auto"/>
            </w:tcBorders>
            <w:noWrap/>
            <w:hideMark/>
          </w:tcPr>
          <w:p w:rsidR="00AD760E" w:rsidRPr="00B32FFF" w:rsidRDefault="00AD760E" w:rsidP="00B32FFF">
            <w:pPr>
              <w:pStyle w:val="NoSpacing"/>
            </w:pPr>
            <w:r w:rsidRPr="00B32FFF">
              <w:t>HAI DRC</w:t>
            </w:r>
          </w:p>
        </w:tc>
      </w:tr>
      <w:tr w:rsidR="00AD760E" w:rsidRPr="00B32FFF" w:rsidTr="00AD760E">
        <w:trPr>
          <w:trHeight w:val="300"/>
        </w:trPr>
        <w:tc>
          <w:tcPr>
            <w:tcW w:w="817" w:type="dxa"/>
            <w:tcBorders>
              <w:top w:val="single" w:sz="4" w:space="0" w:color="auto"/>
              <w:left w:val="nil"/>
              <w:bottom w:val="single" w:sz="4" w:space="0" w:color="auto"/>
              <w:right w:val="nil"/>
            </w:tcBorders>
          </w:tcPr>
          <w:p w:rsidR="00AD760E" w:rsidRDefault="00AD760E" w:rsidP="00AD760E">
            <w:pPr>
              <w:pStyle w:val="NoSpacing"/>
              <w:ind w:left="360"/>
              <w:rPr>
                <w:b/>
              </w:rPr>
            </w:pPr>
          </w:p>
        </w:tc>
        <w:tc>
          <w:tcPr>
            <w:tcW w:w="1916" w:type="dxa"/>
            <w:tcBorders>
              <w:top w:val="single" w:sz="4" w:space="0" w:color="auto"/>
              <w:left w:val="nil"/>
              <w:bottom w:val="single" w:sz="4" w:space="0" w:color="auto"/>
              <w:right w:val="nil"/>
            </w:tcBorders>
            <w:noWrap/>
            <w:hideMark/>
          </w:tcPr>
          <w:p w:rsidR="00AD760E" w:rsidRDefault="00AD760E" w:rsidP="002B5569">
            <w:pPr>
              <w:pStyle w:val="NoSpacing"/>
              <w:rPr>
                <w:b/>
              </w:rPr>
            </w:pPr>
          </w:p>
          <w:p w:rsidR="00DB1BF0" w:rsidRDefault="00DB1BF0" w:rsidP="002B5569">
            <w:pPr>
              <w:pStyle w:val="NoSpacing"/>
              <w:rPr>
                <w:b/>
              </w:rPr>
            </w:pPr>
          </w:p>
          <w:p w:rsidR="002B5569" w:rsidRPr="00DB1BF0" w:rsidRDefault="002B5569" w:rsidP="002B5569">
            <w:pPr>
              <w:pStyle w:val="NoSpacing"/>
            </w:pPr>
            <w:r w:rsidRPr="00DB1BF0">
              <w:t>Partners</w:t>
            </w:r>
          </w:p>
        </w:tc>
        <w:tc>
          <w:tcPr>
            <w:tcW w:w="3394" w:type="dxa"/>
            <w:gridSpan w:val="2"/>
            <w:tcBorders>
              <w:top w:val="single" w:sz="4" w:space="0" w:color="auto"/>
              <w:left w:val="nil"/>
              <w:bottom w:val="single" w:sz="4" w:space="0" w:color="auto"/>
              <w:right w:val="nil"/>
            </w:tcBorders>
            <w:noWrap/>
            <w:hideMark/>
          </w:tcPr>
          <w:p w:rsidR="00AD760E" w:rsidRPr="00B32FFF" w:rsidRDefault="00AD760E" w:rsidP="00B32FFF">
            <w:pPr>
              <w:pStyle w:val="NoSpacing"/>
            </w:pPr>
          </w:p>
        </w:tc>
        <w:tc>
          <w:tcPr>
            <w:tcW w:w="3115" w:type="dxa"/>
            <w:tcBorders>
              <w:top w:val="single" w:sz="4" w:space="0" w:color="auto"/>
              <w:left w:val="nil"/>
              <w:bottom w:val="single" w:sz="4" w:space="0" w:color="auto"/>
              <w:right w:val="nil"/>
            </w:tcBorders>
            <w:noWrap/>
            <w:hideMark/>
          </w:tcPr>
          <w:p w:rsidR="00AD760E" w:rsidRPr="00B32FFF" w:rsidRDefault="00AD760E" w:rsidP="00B32FFF">
            <w:pPr>
              <w:pStyle w:val="NoSpacing"/>
            </w:pPr>
          </w:p>
        </w:tc>
      </w:tr>
      <w:tr w:rsidR="008A2EB4" w:rsidRPr="00B32FFF" w:rsidTr="00C505A1">
        <w:trPr>
          <w:trHeight w:val="300"/>
        </w:trPr>
        <w:tc>
          <w:tcPr>
            <w:tcW w:w="817" w:type="dxa"/>
            <w:tcBorders>
              <w:bottom w:val="single" w:sz="4" w:space="0" w:color="auto"/>
            </w:tcBorders>
          </w:tcPr>
          <w:p w:rsidR="008A2EB4" w:rsidRPr="000C237D" w:rsidRDefault="008A2EB4" w:rsidP="00C505A1">
            <w:pPr>
              <w:pStyle w:val="NoSpacing"/>
              <w:ind w:left="360"/>
              <w:rPr>
                <w:b/>
              </w:rPr>
            </w:pPr>
            <w:r>
              <w:rPr>
                <w:b/>
              </w:rPr>
              <w:t>14</w:t>
            </w:r>
          </w:p>
        </w:tc>
        <w:tc>
          <w:tcPr>
            <w:tcW w:w="1916" w:type="dxa"/>
            <w:tcBorders>
              <w:bottom w:val="single" w:sz="4" w:space="0" w:color="auto"/>
            </w:tcBorders>
            <w:noWrap/>
            <w:hideMark/>
          </w:tcPr>
          <w:p w:rsidR="008A2EB4" w:rsidRPr="000C237D" w:rsidRDefault="008A2EB4" w:rsidP="00C505A1">
            <w:pPr>
              <w:pStyle w:val="NoSpacing"/>
              <w:rPr>
                <w:b/>
              </w:rPr>
            </w:pPr>
            <w:proofErr w:type="spellStart"/>
            <w:r w:rsidRPr="000C237D">
              <w:rPr>
                <w:b/>
              </w:rPr>
              <w:t>Iesha</w:t>
            </w:r>
            <w:proofErr w:type="spellEnd"/>
            <w:r w:rsidRPr="000C237D">
              <w:rPr>
                <w:b/>
              </w:rPr>
              <w:t xml:space="preserve"> Singh </w:t>
            </w:r>
          </w:p>
        </w:tc>
        <w:tc>
          <w:tcPr>
            <w:tcW w:w="3394" w:type="dxa"/>
            <w:gridSpan w:val="2"/>
            <w:tcBorders>
              <w:bottom w:val="single" w:sz="4" w:space="0" w:color="auto"/>
            </w:tcBorders>
            <w:noWrap/>
            <w:hideMark/>
          </w:tcPr>
          <w:p w:rsidR="008A2EB4" w:rsidRPr="00B32FFF" w:rsidRDefault="008A2EB4" w:rsidP="00C505A1">
            <w:pPr>
              <w:pStyle w:val="NoSpacing"/>
            </w:pPr>
            <w:r w:rsidRPr="00B32FFF">
              <w:t xml:space="preserve">Humanitarian Advisor </w:t>
            </w:r>
          </w:p>
        </w:tc>
        <w:tc>
          <w:tcPr>
            <w:tcW w:w="3115" w:type="dxa"/>
            <w:tcBorders>
              <w:bottom w:val="single" w:sz="4" w:space="0" w:color="auto"/>
            </w:tcBorders>
            <w:noWrap/>
            <w:hideMark/>
          </w:tcPr>
          <w:p w:rsidR="008A2EB4" w:rsidRPr="00B32FFF" w:rsidRDefault="008A2EB4" w:rsidP="00C505A1">
            <w:pPr>
              <w:pStyle w:val="NoSpacing"/>
            </w:pPr>
            <w:r w:rsidRPr="00B32FFF">
              <w:t>DFID/CHASE</w:t>
            </w:r>
          </w:p>
        </w:tc>
      </w:tr>
      <w:tr w:rsidR="00AD760E" w:rsidRPr="00B32FFF" w:rsidTr="00AD760E">
        <w:trPr>
          <w:trHeight w:val="300"/>
        </w:trPr>
        <w:tc>
          <w:tcPr>
            <w:tcW w:w="817" w:type="dxa"/>
            <w:tcBorders>
              <w:top w:val="single" w:sz="4" w:space="0" w:color="auto"/>
            </w:tcBorders>
          </w:tcPr>
          <w:p w:rsidR="00AD760E" w:rsidRPr="000C237D" w:rsidRDefault="00AD760E" w:rsidP="00AD760E">
            <w:pPr>
              <w:pStyle w:val="NoSpacing"/>
              <w:ind w:left="360"/>
              <w:rPr>
                <w:b/>
              </w:rPr>
            </w:pPr>
            <w:r>
              <w:rPr>
                <w:b/>
              </w:rPr>
              <w:t>15</w:t>
            </w:r>
          </w:p>
        </w:tc>
        <w:tc>
          <w:tcPr>
            <w:tcW w:w="1916" w:type="dxa"/>
            <w:tcBorders>
              <w:top w:val="single" w:sz="4" w:space="0" w:color="auto"/>
            </w:tcBorders>
            <w:noWrap/>
            <w:hideMark/>
          </w:tcPr>
          <w:p w:rsidR="00AD760E" w:rsidRPr="000C237D" w:rsidRDefault="00AD760E" w:rsidP="00B32FFF">
            <w:pPr>
              <w:pStyle w:val="NoSpacing"/>
              <w:rPr>
                <w:b/>
              </w:rPr>
            </w:pPr>
            <w:proofErr w:type="spellStart"/>
            <w:r w:rsidRPr="000C237D">
              <w:rPr>
                <w:b/>
              </w:rPr>
              <w:t>Henrike</w:t>
            </w:r>
            <w:proofErr w:type="spellEnd"/>
            <w:r w:rsidRPr="000C237D">
              <w:rPr>
                <w:b/>
              </w:rPr>
              <w:t xml:space="preserve"> </w:t>
            </w:r>
            <w:proofErr w:type="spellStart"/>
            <w:r w:rsidRPr="000C237D">
              <w:rPr>
                <w:b/>
              </w:rPr>
              <w:t>Trautmann</w:t>
            </w:r>
            <w:proofErr w:type="spellEnd"/>
          </w:p>
        </w:tc>
        <w:tc>
          <w:tcPr>
            <w:tcW w:w="3394" w:type="dxa"/>
            <w:gridSpan w:val="2"/>
            <w:tcBorders>
              <w:top w:val="single" w:sz="4" w:space="0" w:color="auto"/>
            </w:tcBorders>
            <w:noWrap/>
            <w:hideMark/>
          </w:tcPr>
          <w:p w:rsidR="00AD760E" w:rsidRPr="00B32FFF" w:rsidRDefault="000B7C96" w:rsidP="00B32FFF">
            <w:pPr>
              <w:pStyle w:val="NoSpacing"/>
            </w:pPr>
            <w:r w:rsidRPr="000B7C96">
              <w:t>Head of Unit in ECHO A4</w:t>
            </w:r>
          </w:p>
        </w:tc>
        <w:tc>
          <w:tcPr>
            <w:tcW w:w="3115" w:type="dxa"/>
            <w:tcBorders>
              <w:top w:val="single" w:sz="4" w:space="0" w:color="auto"/>
            </w:tcBorders>
            <w:noWrap/>
            <w:hideMark/>
          </w:tcPr>
          <w:p w:rsidR="00AD760E" w:rsidRPr="00B32FFF" w:rsidRDefault="00AD760E" w:rsidP="00B32FFF">
            <w:pPr>
              <w:pStyle w:val="NoSpacing"/>
            </w:pPr>
            <w:r w:rsidRPr="00B32FFF">
              <w:t>ECHO</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16</w:t>
            </w:r>
          </w:p>
        </w:tc>
        <w:tc>
          <w:tcPr>
            <w:tcW w:w="1916" w:type="dxa"/>
            <w:noWrap/>
            <w:hideMark/>
          </w:tcPr>
          <w:p w:rsidR="00AD760E" w:rsidRPr="000C237D" w:rsidRDefault="00AD760E" w:rsidP="00B32FFF">
            <w:pPr>
              <w:pStyle w:val="NoSpacing"/>
              <w:rPr>
                <w:b/>
              </w:rPr>
            </w:pPr>
            <w:r w:rsidRPr="000C237D">
              <w:rPr>
                <w:b/>
              </w:rPr>
              <w:t xml:space="preserve">Linda </w:t>
            </w:r>
            <w:proofErr w:type="spellStart"/>
            <w:r w:rsidRPr="000C237D">
              <w:rPr>
                <w:b/>
              </w:rPr>
              <w:t>Doull</w:t>
            </w:r>
            <w:proofErr w:type="spellEnd"/>
            <w:r w:rsidRPr="000C237D">
              <w:rPr>
                <w:b/>
              </w:rPr>
              <w:t xml:space="preserve"> </w:t>
            </w:r>
          </w:p>
        </w:tc>
        <w:tc>
          <w:tcPr>
            <w:tcW w:w="3394" w:type="dxa"/>
            <w:gridSpan w:val="2"/>
            <w:noWrap/>
            <w:hideMark/>
          </w:tcPr>
          <w:p w:rsidR="00AD760E" w:rsidRPr="00B32FFF" w:rsidRDefault="00AD760E" w:rsidP="00B32FFF">
            <w:pPr>
              <w:pStyle w:val="NoSpacing"/>
            </w:pPr>
            <w:r w:rsidRPr="00B32FFF">
              <w:t xml:space="preserve">Head of Policy </w:t>
            </w:r>
          </w:p>
        </w:tc>
        <w:tc>
          <w:tcPr>
            <w:tcW w:w="3115" w:type="dxa"/>
            <w:noWrap/>
            <w:hideMark/>
          </w:tcPr>
          <w:p w:rsidR="00AD760E" w:rsidRPr="00B32FFF" w:rsidRDefault="00AD760E" w:rsidP="00B32FFF">
            <w:pPr>
              <w:pStyle w:val="NoSpacing"/>
            </w:pPr>
            <w:r w:rsidRPr="00B32FFF">
              <w:t>Merlin</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17</w:t>
            </w:r>
          </w:p>
        </w:tc>
        <w:tc>
          <w:tcPr>
            <w:tcW w:w="1916" w:type="dxa"/>
            <w:noWrap/>
            <w:hideMark/>
          </w:tcPr>
          <w:p w:rsidR="00AD760E" w:rsidRPr="000C237D" w:rsidRDefault="00AD760E" w:rsidP="00B32FFF">
            <w:pPr>
              <w:pStyle w:val="NoSpacing"/>
              <w:rPr>
                <w:b/>
              </w:rPr>
            </w:pPr>
            <w:r w:rsidRPr="000C237D">
              <w:rPr>
                <w:b/>
              </w:rPr>
              <w:t>Beverley Collin</w:t>
            </w:r>
          </w:p>
        </w:tc>
        <w:tc>
          <w:tcPr>
            <w:tcW w:w="3394" w:type="dxa"/>
            <w:gridSpan w:val="2"/>
            <w:noWrap/>
            <w:hideMark/>
          </w:tcPr>
          <w:p w:rsidR="00AD760E" w:rsidRPr="00B32FFF" w:rsidRDefault="00BB2615" w:rsidP="00B32FFF">
            <w:pPr>
              <w:pStyle w:val="NoSpacing"/>
            </w:pPr>
            <w:r>
              <w:t>Health Adviser MSF-UK</w:t>
            </w:r>
          </w:p>
        </w:tc>
        <w:tc>
          <w:tcPr>
            <w:tcW w:w="3115" w:type="dxa"/>
            <w:noWrap/>
            <w:hideMark/>
          </w:tcPr>
          <w:p w:rsidR="00AD760E" w:rsidRPr="00B32FFF" w:rsidRDefault="00AD760E" w:rsidP="00B32FFF">
            <w:pPr>
              <w:pStyle w:val="NoSpacing"/>
            </w:pPr>
            <w:r w:rsidRPr="00B32FFF">
              <w:t>MSF</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18</w:t>
            </w:r>
          </w:p>
        </w:tc>
        <w:tc>
          <w:tcPr>
            <w:tcW w:w="1916" w:type="dxa"/>
            <w:noWrap/>
            <w:hideMark/>
          </w:tcPr>
          <w:p w:rsidR="00AD760E" w:rsidRPr="000C237D" w:rsidRDefault="00AD760E" w:rsidP="00B32FFF">
            <w:pPr>
              <w:pStyle w:val="NoSpacing"/>
              <w:rPr>
                <w:b/>
              </w:rPr>
            </w:pPr>
            <w:r w:rsidRPr="000C237D">
              <w:rPr>
                <w:b/>
              </w:rPr>
              <w:t>Peter Walker</w:t>
            </w:r>
          </w:p>
        </w:tc>
        <w:tc>
          <w:tcPr>
            <w:tcW w:w="3394" w:type="dxa"/>
            <w:gridSpan w:val="2"/>
            <w:noWrap/>
            <w:hideMark/>
          </w:tcPr>
          <w:p w:rsidR="00AD760E" w:rsidRPr="00B32FFF" w:rsidRDefault="00BB2615" w:rsidP="00BB2615">
            <w:pPr>
              <w:pStyle w:val="NoSpacing"/>
            </w:pPr>
            <w:r w:rsidRPr="00BB2615">
              <w:t>Director</w:t>
            </w:r>
            <w:r>
              <w:t xml:space="preserve">, </w:t>
            </w:r>
            <w:r w:rsidRPr="00BB2615">
              <w:rPr>
                <w:bCs/>
              </w:rPr>
              <w:t>Feinstein</w:t>
            </w:r>
            <w:r w:rsidRPr="00BB2615">
              <w:t xml:space="preserve"> International </w:t>
            </w:r>
            <w:proofErr w:type="spellStart"/>
            <w:r w:rsidRPr="00BB2615">
              <w:t>Center</w:t>
            </w:r>
            <w:proofErr w:type="spellEnd"/>
          </w:p>
        </w:tc>
        <w:tc>
          <w:tcPr>
            <w:tcW w:w="3115" w:type="dxa"/>
            <w:noWrap/>
            <w:hideMark/>
          </w:tcPr>
          <w:p w:rsidR="00AD760E" w:rsidRPr="00B32FFF" w:rsidRDefault="00AD760E" w:rsidP="00B32FFF">
            <w:pPr>
              <w:pStyle w:val="NoSpacing"/>
            </w:pPr>
            <w:r w:rsidRPr="00B32FFF">
              <w:t xml:space="preserve">Tufts  </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19</w:t>
            </w:r>
          </w:p>
        </w:tc>
        <w:tc>
          <w:tcPr>
            <w:tcW w:w="1916" w:type="dxa"/>
            <w:noWrap/>
            <w:hideMark/>
          </w:tcPr>
          <w:p w:rsidR="00AD760E" w:rsidRPr="000C237D" w:rsidRDefault="00AD760E" w:rsidP="00B32FFF">
            <w:pPr>
              <w:pStyle w:val="NoSpacing"/>
              <w:rPr>
                <w:b/>
              </w:rPr>
            </w:pPr>
            <w:r w:rsidRPr="000C237D">
              <w:rPr>
                <w:b/>
              </w:rPr>
              <w:t xml:space="preserve">Patrice </w:t>
            </w:r>
            <w:proofErr w:type="spellStart"/>
            <w:r w:rsidRPr="000C237D">
              <w:rPr>
                <w:b/>
              </w:rPr>
              <w:t>Chataigner</w:t>
            </w:r>
            <w:proofErr w:type="spellEnd"/>
          </w:p>
        </w:tc>
        <w:tc>
          <w:tcPr>
            <w:tcW w:w="3394" w:type="dxa"/>
            <w:gridSpan w:val="2"/>
            <w:noWrap/>
            <w:hideMark/>
          </w:tcPr>
          <w:p w:rsidR="00AD760E" w:rsidRPr="00B32FFF" w:rsidRDefault="00BB2615" w:rsidP="00B32FFF">
            <w:pPr>
              <w:pStyle w:val="NoSpacing"/>
            </w:pPr>
            <w:r>
              <w:t>Information Analyst</w:t>
            </w:r>
          </w:p>
        </w:tc>
        <w:tc>
          <w:tcPr>
            <w:tcW w:w="3115" w:type="dxa"/>
            <w:noWrap/>
            <w:hideMark/>
          </w:tcPr>
          <w:p w:rsidR="00AD760E" w:rsidRPr="00B32FFF" w:rsidRDefault="00AD760E" w:rsidP="00B32FFF">
            <w:pPr>
              <w:pStyle w:val="NoSpacing"/>
            </w:pPr>
            <w:r w:rsidRPr="00B32FFF">
              <w:t>ACAPS</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20</w:t>
            </w:r>
          </w:p>
        </w:tc>
        <w:tc>
          <w:tcPr>
            <w:tcW w:w="1916" w:type="dxa"/>
            <w:noWrap/>
            <w:hideMark/>
          </w:tcPr>
          <w:p w:rsidR="00AD760E" w:rsidRPr="000C237D" w:rsidRDefault="00AD760E" w:rsidP="00B32FFF">
            <w:pPr>
              <w:pStyle w:val="NoSpacing"/>
              <w:rPr>
                <w:b/>
              </w:rPr>
            </w:pPr>
            <w:r w:rsidRPr="000C237D">
              <w:rPr>
                <w:b/>
              </w:rPr>
              <w:t xml:space="preserve">Loretta </w:t>
            </w:r>
            <w:proofErr w:type="spellStart"/>
            <w:r w:rsidRPr="000C237D">
              <w:rPr>
                <w:b/>
              </w:rPr>
              <w:t>Hieber-Girardet</w:t>
            </w:r>
            <w:proofErr w:type="spellEnd"/>
          </w:p>
        </w:tc>
        <w:tc>
          <w:tcPr>
            <w:tcW w:w="3394" w:type="dxa"/>
            <w:gridSpan w:val="2"/>
            <w:noWrap/>
            <w:hideMark/>
          </w:tcPr>
          <w:p w:rsidR="00AD760E" w:rsidRPr="00B32FFF" w:rsidRDefault="005A1E25" w:rsidP="00B32FFF">
            <w:pPr>
              <w:pStyle w:val="NoSpacing"/>
            </w:pPr>
            <w:r w:rsidRPr="005A1E25">
              <w:t>Chair of the IASC Needs Assessment Task Force</w:t>
            </w:r>
          </w:p>
        </w:tc>
        <w:tc>
          <w:tcPr>
            <w:tcW w:w="3115" w:type="dxa"/>
            <w:noWrap/>
            <w:hideMark/>
          </w:tcPr>
          <w:p w:rsidR="00AD760E" w:rsidRPr="00B32FFF" w:rsidRDefault="00AD760E" w:rsidP="00B32FFF">
            <w:pPr>
              <w:pStyle w:val="NoSpacing"/>
            </w:pPr>
            <w:r w:rsidRPr="00B32FFF">
              <w:t>OCHA NATF</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21</w:t>
            </w:r>
          </w:p>
        </w:tc>
        <w:tc>
          <w:tcPr>
            <w:tcW w:w="1916" w:type="dxa"/>
            <w:noWrap/>
            <w:hideMark/>
          </w:tcPr>
          <w:p w:rsidR="00AD760E" w:rsidRPr="000C237D" w:rsidRDefault="00AD760E" w:rsidP="00B8232B">
            <w:pPr>
              <w:pStyle w:val="NoSpacing"/>
              <w:rPr>
                <w:b/>
              </w:rPr>
            </w:pPr>
            <w:proofErr w:type="spellStart"/>
            <w:r w:rsidRPr="000C237D">
              <w:rPr>
                <w:b/>
              </w:rPr>
              <w:t>Delphine</w:t>
            </w:r>
            <w:proofErr w:type="spellEnd"/>
            <w:r w:rsidRPr="000C237D">
              <w:rPr>
                <w:b/>
              </w:rPr>
              <w:t xml:space="preserve"> </w:t>
            </w:r>
            <w:proofErr w:type="spellStart"/>
            <w:r w:rsidRPr="000C237D">
              <w:rPr>
                <w:b/>
              </w:rPr>
              <w:t>Brun</w:t>
            </w:r>
            <w:proofErr w:type="spellEnd"/>
          </w:p>
        </w:tc>
        <w:tc>
          <w:tcPr>
            <w:tcW w:w="3394" w:type="dxa"/>
            <w:gridSpan w:val="2"/>
            <w:noWrap/>
            <w:hideMark/>
          </w:tcPr>
          <w:p w:rsidR="00AD760E" w:rsidRPr="00B32FFF" w:rsidRDefault="00AD760E" w:rsidP="00B8232B">
            <w:pPr>
              <w:pStyle w:val="NoSpacing"/>
            </w:pPr>
            <w:proofErr w:type="spellStart"/>
            <w:r w:rsidRPr="00B32FFF">
              <w:t>GenCap</w:t>
            </w:r>
            <w:proofErr w:type="spellEnd"/>
            <w:r w:rsidRPr="00B32FFF">
              <w:t xml:space="preserve"> Inter-Agency Advisor to Global Clusters</w:t>
            </w:r>
          </w:p>
        </w:tc>
        <w:tc>
          <w:tcPr>
            <w:tcW w:w="3115" w:type="dxa"/>
            <w:noWrap/>
            <w:hideMark/>
          </w:tcPr>
          <w:p w:rsidR="00AD760E" w:rsidRPr="00B32FFF" w:rsidRDefault="00AD760E" w:rsidP="00B32FFF">
            <w:pPr>
              <w:pStyle w:val="NoSpacing"/>
            </w:pPr>
            <w:proofErr w:type="spellStart"/>
            <w:r w:rsidRPr="00B32FFF">
              <w:t>GenCap</w:t>
            </w:r>
            <w:proofErr w:type="spellEnd"/>
            <w:r w:rsidRPr="00B32FFF">
              <w:t>/UNICEF</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lastRenderedPageBreak/>
              <w:t>22</w:t>
            </w:r>
          </w:p>
        </w:tc>
        <w:tc>
          <w:tcPr>
            <w:tcW w:w="1916" w:type="dxa"/>
            <w:noWrap/>
            <w:hideMark/>
          </w:tcPr>
          <w:p w:rsidR="00AD760E" w:rsidRPr="000C237D" w:rsidRDefault="00AD760E" w:rsidP="007A6F33">
            <w:pPr>
              <w:pStyle w:val="NoSpacing"/>
              <w:rPr>
                <w:b/>
              </w:rPr>
            </w:pPr>
            <w:r w:rsidRPr="000C237D">
              <w:rPr>
                <w:b/>
              </w:rPr>
              <w:t xml:space="preserve">Cecile </w:t>
            </w:r>
            <w:proofErr w:type="spellStart"/>
            <w:r w:rsidRPr="000C237D">
              <w:rPr>
                <w:b/>
              </w:rPr>
              <w:t>Mazzacurati</w:t>
            </w:r>
            <w:proofErr w:type="spellEnd"/>
          </w:p>
        </w:tc>
        <w:tc>
          <w:tcPr>
            <w:tcW w:w="3394" w:type="dxa"/>
            <w:gridSpan w:val="2"/>
            <w:noWrap/>
            <w:hideMark/>
          </w:tcPr>
          <w:p w:rsidR="00AD760E" w:rsidRPr="00B32FFF" w:rsidRDefault="005A1E25" w:rsidP="007A6F33">
            <w:pPr>
              <w:pStyle w:val="NoSpacing"/>
            </w:pPr>
            <w:r>
              <w:t xml:space="preserve">Humanitarian Programme Specialist </w:t>
            </w:r>
          </w:p>
        </w:tc>
        <w:tc>
          <w:tcPr>
            <w:tcW w:w="3115" w:type="dxa"/>
            <w:noWrap/>
            <w:hideMark/>
          </w:tcPr>
          <w:p w:rsidR="00AD760E" w:rsidRPr="00B32FFF" w:rsidRDefault="00AD760E" w:rsidP="007A6F33">
            <w:pPr>
              <w:pStyle w:val="NoSpacing"/>
            </w:pPr>
            <w:r w:rsidRPr="00B32FFF">
              <w:t>UNFPA</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23</w:t>
            </w:r>
          </w:p>
        </w:tc>
        <w:tc>
          <w:tcPr>
            <w:tcW w:w="1916" w:type="dxa"/>
            <w:noWrap/>
            <w:hideMark/>
          </w:tcPr>
          <w:p w:rsidR="00AD760E" w:rsidRPr="000C237D" w:rsidRDefault="00AD760E" w:rsidP="007A6F33">
            <w:pPr>
              <w:pStyle w:val="NoSpacing"/>
              <w:rPr>
                <w:b/>
              </w:rPr>
            </w:pPr>
            <w:proofErr w:type="spellStart"/>
            <w:r w:rsidRPr="000C237D">
              <w:rPr>
                <w:b/>
              </w:rPr>
              <w:t>Siobhán</w:t>
            </w:r>
            <w:proofErr w:type="spellEnd"/>
            <w:r w:rsidRPr="000C237D">
              <w:rPr>
                <w:b/>
              </w:rPr>
              <w:t xml:space="preserve"> </w:t>
            </w:r>
            <w:proofErr w:type="spellStart"/>
            <w:r w:rsidRPr="000C237D">
              <w:rPr>
                <w:b/>
              </w:rPr>
              <w:t>Foran</w:t>
            </w:r>
            <w:proofErr w:type="spellEnd"/>
          </w:p>
        </w:tc>
        <w:tc>
          <w:tcPr>
            <w:tcW w:w="3394" w:type="dxa"/>
            <w:gridSpan w:val="2"/>
            <w:noWrap/>
            <w:hideMark/>
          </w:tcPr>
          <w:p w:rsidR="00AD760E" w:rsidRPr="00B32FFF" w:rsidRDefault="00AD760E" w:rsidP="00B8232B">
            <w:pPr>
              <w:pStyle w:val="NoSpacing"/>
            </w:pPr>
            <w:r w:rsidRPr="00B32FFF">
              <w:t>Gende</w:t>
            </w:r>
            <w:r>
              <w:t>r &amp; Humanitarian Action Adviser</w:t>
            </w:r>
          </w:p>
        </w:tc>
        <w:tc>
          <w:tcPr>
            <w:tcW w:w="3115" w:type="dxa"/>
            <w:noWrap/>
            <w:hideMark/>
          </w:tcPr>
          <w:p w:rsidR="00AD760E" w:rsidRPr="00B32FFF" w:rsidRDefault="00AD760E" w:rsidP="007A6F33">
            <w:pPr>
              <w:pStyle w:val="NoSpacing"/>
            </w:pPr>
            <w:r w:rsidRPr="00B32FFF">
              <w:t>UN Women</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24</w:t>
            </w:r>
          </w:p>
        </w:tc>
        <w:tc>
          <w:tcPr>
            <w:tcW w:w="1916" w:type="dxa"/>
            <w:noWrap/>
            <w:hideMark/>
          </w:tcPr>
          <w:p w:rsidR="00AD760E" w:rsidRPr="000C237D" w:rsidRDefault="00AD760E" w:rsidP="00B32FFF">
            <w:pPr>
              <w:pStyle w:val="NoSpacing"/>
              <w:rPr>
                <w:b/>
              </w:rPr>
            </w:pPr>
            <w:r w:rsidRPr="000C237D">
              <w:rPr>
                <w:b/>
              </w:rPr>
              <w:t xml:space="preserve">Greg </w:t>
            </w:r>
            <w:proofErr w:type="spellStart"/>
            <w:r w:rsidRPr="000C237D">
              <w:rPr>
                <w:b/>
              </w:rPr>
              <w:t>Garras</w:t>
            </w:r>
            <w:proofErr w:type="spellEnd"/>
          </w:p>
        </w:tc>
        <w:tc>
          <w:tcPr>
            <w:tcW w:w="3394" w:type="dxa"/>
            <w:gridSpan w:val="2"/>
            <w:noWrap/>
            <w:hideMark/>
          </w:tcPr>
          <w:p w:rsidR="00AD760E" w:rsidRPr="00B32FFF" w:rsidRDefault="00AD760E" w:rsidP="00B32FFF">
            <w:pPr>
              <w:pStyle w:val="NoSpacing"/>
            </w:pPr>
          </w:p>
        </w:tc>
        <w:tc>
          <w:tcPr>
            <w:tcW w:w="3115" w:type="dxa"/>
            <w:noWrap/>
            <w:hideMark/>
          </w:tcPr>
          <w:p w:rsidR="00AD760E" w:rsidRPr="00B32FFF" w:rsidRDefault="00AD760E" w:rsidP="00B32FFF">
            <w:pPr>
              <w:pStyle w:val="NoSpacing"/>
            </w:pPr>
            <w:r w:rsidRPr="00B32FFF">
              <w:t>UNHCR/GPC</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25</w:t>
            </w:r>
          </w:p>
        </w:tc>
        <w:tc>
          <w:tcPr>
            <w:tcW w:w="1916" w:type="dxa"/>
            <w:noWrap/>
            <w:hideMark/>
          </w:tcPr>
          <w:p w:rsidR="00AD760E" w:rsidRPr="000C237D" w:rsidRDefault="00AD760E" w:rsidP="007A6F33">
            <w:pPr>
              <w:pStyle w:val="NoSpacing"/>
              <w:rPr>
                <w:b/>
              </w:rPr>
            </w:pPr>
            <w:r w:rsidRPr="000C237D">
              <w:rPr>
                <w:b/>
              </w:rPr>
              <w:t>Sarah Khan</w:t>
            </w:r>
          </w:p>
        </w:tc>
        <w:tc>
          <w:tcPr>
            <w:tcW w:w="3394" w:type="dxa"/>
            <w:gridSpan w:val="2"/>
            <w:noWrap/>
            <w:hideMark/>
          </w:tcPr>
          <w:p w:rsidR="00AD760E" w:rsidRPr="00B32FFF" w:rsidRDefault="00AD760E" w:rsidP="00B8232B">
            <w:pPr>
              <w:pStyle w:val="NoSpacing"/>
            </w:pPr>
            <w:r w:rsidRPr="00B32FFF">
              <w:t>Protection Officer</w:t>
            </w:r>
            <w:r>
              <w:t xml:space="preserve">, </w:t>
            </w:r>
            <w:r w:rsidRPr="00B32FFF">
              <w:t>GPC Support Cell /UNHCR</w:t>
            </w:r>
          </w:p>
        </w:tc>
        <w:tc>
          <w:tcPr>
            <w:tcW w:w="3115" w:type="dxa"/>
            <w:noWrap/>
            <w:hideMark/>
          </w:tcPr>
          <w:p w:rsidR="00AD760E" w:rsidRPr="00B32FFF" w:rsidRDefault="00AD760E" w:rsidP="007A6F33">
            <w:pPr>
              <w:pStyle w:val="NoSpacing"/>
            </w:pPr>
            <w:r w:rsidRPr="00B32FFF">
              <w:t>GPC</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26</w:t>
            </w:r>
          </w:p>
        </w:tc>
        <w:tc>
          <w:tcPr>
            <w:tcW w:w="1916" w:type="dxa"/>
            <w:noWrap/>
            <w:hideMark/>
          </w:tcPr>
          <w:p w:rsidR="00AD760E" w:rsidRPr="000C237D" w:rsidRDefault="00AD760E" w:rsidP="00B32FFF">
            <w:pPr>
              <w:pStyle w:val="NoSpacing"/>
              <w:rPr>
                <w:b/>
              </w:rPr>
            </w:pPr>
            <w:r w:rsidRPr="000C237D">
              <w:rPr>
                <w:b/>
              </w:rPr>
              <w:t xml:space="preserve">George </w:t>
            </w:r>
            <w:proofErr w:type="spellStart"/>
            <w:r w:rsidRPr="000C237D">
              <w:rPr>
                <w:b/>
              </w:rPr>
              <w:t>Aelion</w:t>
            </w:r>
            <w:proofErr w:type="spellEnd"/>
            <w:r w:rsidRPr="000C237D">
              <w:rPr>
                <w:b/>
              </w:rPr>
              <w:t xml:space="preserve"> </w:t>
            </w:r>
          </w:p>
        </w:tc>
        <w:tc>
          <w:tcPr>
            <w:tcW w:w="3394" w:type="dxa"/>
            <w:gridSpan w:val="2"/>
            <w:noWrap/>
            <w:hideMark/>
          </w:tcPr>
          <w:p w:rsidR="00AD760E" w:rsidRPr="00B32FFF" w:rsidRDefault="00AD760E" w:rsidP="00B32FFF">
            <w:pPr>
              <w:pStyle w:val="NoSpacing"/>
            </w:pPr>
            <w:r w:rsidRPr="00B32FFF">
              <w:t>WFP Global Food Security Cluster</w:t>
            </w:r>
          </w:p>
        </w:tc>
        <w:tc>
          <w:tcPr>
            <w:tcW w:w="3115" w:type="dxa"/>
            <w:noWrap/>
            <w:hideMark/>
          </w:tcPr>
          <w:p w:rsidR="00AD760E" w:rsidRPr="00B32FFF" w:rsidRDefault="00AD760E" w:rsidP="00B32FFF">
            <w:pPr>
              <w:pStyle w:val="NoSpacing"/>
            </w:pPr>
            <w:r w:rsidRPr="00B32FFF">
              <w:t>GFSC/WFP</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27</w:t>
            </w:r>
          </w:p>
        </w:tc>
        <w:tc>
          <w:tcPr>
            <w:tcW w:w="1916" w:type="dxa"/>
            <w:noWrap/>
            <w:hideMark/>
          </w:tcPr>
          <w:p w:rsidR="00AD760E" w:rsidRPr="000C237D" w:rsidRDefault="00AD760E" w:rsidP="00B32FFF">
            <w:pPr>
              <w:pStyle w:val="NoSpacing"/>
              <w:rPr>
                <w:b/>
              </w:rPr>
            </w:pPr>
            <w:r w:rsidRPr="000C237D">
              <w:rPr>
                <w:b/>
              </w:rPr>
              <w:t xml:space="preserve">Pascal </w:t>
            </w:r>
            <w:proofErr w:type="spellStart"/>
            <w:r w:rsidRPr="000C237D">
              <w:rPr>
                <w:b/>
              </w:rPr>
              <w:t>Hundt</w:t>
            </w:r>
            <w:proofErr w:type="spellEnd"/>
            <w:r w:rsidRPr="000C237D">
              <w:rPr>
                <w:b/>
              </w:rPr>
              <w:t xml:space="preserve">  </w:t>
            </w:r>
          </w:p>
        </w:tc>
        <w:tc>
          <w:tcPr>
            <w:tcW w:w="3394" w:type="dxa"/>
            <w:gridSpan w:val="2"/>
            <w:noWrap/>
            <w:hideMark/>
          </w:tcPr>
          <w:p w:rsidR="00AD760E" w:rsidRPr="00B32FFF" w:rsidRDefault="00AD760E" w:rsidP="00B32FFF">
            <w:pPr>
              <w:pStyle w:val="NoSpacing"/>
            </w:pPr>
            <w:r w:rsidRPr="00B32FFF">
              <w:t>ICRC Protection Division</w:t>
            </w:r>
          </w:p>
        </w:tc>
        <w:tc>
          <w:tcPr>
            <w:tcW w:w="3115" w:type="dxa"/>
            <w:noWrap/>
            <w:hideMark/>
          </w:tcPr>
          <w:p w:rsidR="00AD760E" w:rsidRPr="00B32FFF" w:rsidRDefault="00AD760E" w:rsidP="00B32FFF">
            <w:pPr>
              <w:pStyle w:val="NoSpacing"/>
            </w:pPr>
            <w:r w:rsidRPr="00B32FFF">
              <w:t>IFRC</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28</w:t>
            </w:r>
          </w:p>
        </w:tc>
        <w:tc>
          <w:tcPr>
            <w:tcW w:w="1916" w:type="dxa"/>
            <w:noWrap/>
            <w:hideMark/>
          </w:tcPr>
          <w:p w:rsidR="00AD760E" w:rsidRPr="000C237D" w:rsidRDefault="00AD760E" w:rsidP="007A6F33">
            <w:pPr>
              <w:pStyle w:val="NoSpacing"/>
              <w:rPr>
                <w:b/>
              </w:rPr>
            </w:pPr>
            <w:r w:rsidRPr="000C237D">
              <w:rPr>
                <w:b/>
              </w:rPr>
              <w:t xml:space="preserve">Nina </w:t>
            </w:r>
            <w:proofErr w:type="spellStart"/>
            <w:r w:rsidRPr="000C237D">
              <w:rPr>
                <w:b/>
              </w:rPr>
              <w:t>Birkeland</w:t>
            </w:r>
            <w:proofErr w:type="spellEnd"/>
          </w:p>
        </w:tc>
        <w:tc>
          <w:tcPr>
            <w:tcW w:w="3394" w:type="dxa"/>
            <w:gridSpan w:val="2"/>
            <w:noWrap/>
            <w:hideMark/>
          </w:tcPr>
          <w:p w:rsidR="00AD760E" w:rsidRPr="00B32FFF" w:rsidRDefault="00AD760E" w:rsidP="0016112D">
            <w:pPr>
              <w:pStyle w:val="NoSpacing"/>
            </w:pPr>
            <w:r w:rsidRPr="00B32FFF">
              <w:t>Head Policy and Research Department</w:t>
            </w:r>
          </w:p>
        </w:tc>
        <w:tc>
          <w:tcPr>
            <w:tcW w:w="3115" w:type="dxa"/>
            <w:noWrap/>
            <w:hideMark/>
          </w:tcPr>
          <w:p w:rsidR="00AD760E" w:rsidRPr="00B32FFF" w:rsidRDefault="00AD760E" w:rsidP="007A6F33">
            <w:pPr>
              <w:pStyle w:val="NoSpacing"/>
            </w:pPr>
            <w:r w:rsidRPr="00B32FFF">
              <w:t>Internal Displacement Monitoring Centre (IDMC)</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29</w:t>
            </w:r>
          </w:p>
        </w:tc>
        <w:tc>
          <w:tcPr>
            <w:tcW w:w="1916" w:type="dxa"/>
            <w:noWrap/>
            <w:hideMark/>
          </w:tcPr>
          <w:p w:rsidR="00AD760E" w:rsidRPr="000C237D" w:rsidRDefault="00AD760E" w:rsidP="007A6F33">
            <w:pPr>
              <w:pStyle w:val="NoSpacing"/>
              <w:rPr>
                <w:b/>
              </w:rPr>
            </w:pPr>
            <w:proofErr w:type="spellStart"/>
            <w:r w:rsidRPr="000C237D">
              <w:rPr>
                <w:b/>
              </w:rPr>
              <w:t>Aleema</w:t>
            </w:r>
            <w:proofErr w:type="spellEnd"/>
            <w:r w:rsidRPr="000C237D">
              <w:rPr>
                <w:b/>
              </w:rPr>
              <w:t xml:space="preserve"> </w:t>
            </w:r>
            <w:proofErr w:type="spellStart"/>
            <w:r w:rsidRPr="000C237D">
              <w:rPr>
                <w:b/>
              </w:rPr>
              <w:t>Shivji</w:t>
            </w:r>
            <w:proofErr w:type="spellEnd"/>
            <w:r w:rsidRPr="000C237D">
              <w:rPr>
                <w:b/>
              </w:rPr>
              <w:t xml:space="preserve"> </w:t>
            </w:r>
          </w:p>
        </w:tc>
        <w:tc>
          <w:tcPr>
            <w:tcW w:w="3394" w:type="dxa"/>
            <w:gridSpan w:val="2"/>
            <w:noWrap/>
            <w:hideMark/>
          </w:tcPr>
          <w:p w:rsidR="00AD760E" w:rsidRPr="00B32FFF" w:rsidRDefault="00AD760E" w:rsidP="007A6F33">
            <w:pPr>
              <w:pStyle w:val="NoSpacing"/>
            </w:pPr>
            <w:r w:rsidRPr="00B32FFF">
              <w:t>ED, UK</w:t>
            </w:r>
          </w:p>
        </w:tc>
        <w:tc>
          <w:tcPr>
            <w:tcW w:w="3115" w:type="dxa"/>
            <w:noWrap/>
            <w:hideMark/>
          </w:tcPr>
          <w:p w:rsidR="00AD760E" w:rsidRPr="00B32FFF" w:rsidRDefault="00AD760E" w:rsidP="007A6F33">
            <w:pPr>
              <w:pStyle w:val="NoSpacing"/>
            </w:pPr>
            <w:r w:rsidRPr="00B32FFF">
              <w:t>HI (ED)</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30</w:t>
            </w:r>
          </w:p>
        </w:tc>
        <w:tc>
          <w:tcPr>
            <w:tcW w:w="1916" w:type="dxa"/>
            <w:noWrap/>
            <w:hideMark/>
          </w:tcPr>
          <w:p w:rsidR="00AD760E" w:rsidRPr="000C237D" w:rsidRDefault="00AD760E" w:rsidP="007A6F33">
            <w:pPr>
              <w:pStyle w:val="NoSpacing"/>
              <w:rPr>
                <w:b/>
              </w:rPr>
            </w:pPr>
            <w:r w:rsidRPr="000C237D">
              <w:rPr>
                <w:b/>
              </w:rPr>
              <w:t xml:space="preserve">Barbara </w:t>
            </w:r>
            <w:proofErr w:type="spellStart"/>
            <w:r w:rsidRPr="000C237D">
              <w:rPr>
                <w:b/>
              </w:rPr>
              <w:t>Agneray</w:t>
            </w:r>
            <w:proofErr w:type="spellEnd"/>
          </w:p>
        </w:tc>
        <w:tc>
          <w:tcPr>
            <w:tcW w:w="3394" w:type="dxa"/>
            <w:gridSpan w:val="2"/>
            <w:noWrap/>
            <w:hideMark/>
          </w:tcPr>
          <w:p w:rsidR="00AD760E" w:rsidRPr="00B32FFF" w:rsidRDefault="00AD760E" w:rsidP="00B8232B">
            <w:pPr>
              <w:pStyle w:val="NoSpacing"/>
            </w:pPr>
            <w:proofErr w:type="spellStart"/>
            <w:r w:rsidRPr="00B32FFF">
              <w:t>Responsable</w:t>
            </w:r>
            <w:proofErr w:type="spellEnd"/>
            <w:r w:rsidRPr="00B32FFF">
              <w:t xml:space="preserve"> de </w:t>
            </w:r>
            <w:proofErr w:type="spellStart"/>
            <w:r w:rsidRPr="00B32FFF">
              <w:t>Projet</w:t>
            </w:r>
            <w:proofErr w:type="spellEnd"/>
            <w:r w:rsidRPr="00B32FFF">
              <w:t xml:space="preserve"> RRMP. RDC</w:t>
            </w:r>
            <w:r w:rsidRPr="00B32FFF">
              <w:br/>
              <w:t xml:space="preserve">Direction de </w:t>
            </w:r>
            <w:proofErr w:type="spellStart"/>
            <w:r w:rsidRPr="00B32FFF">
              <w:t>l'Action</w:t>
            </w:r>
            <w:proofErr w:type="spellEnd"/>
            <w:r w:rsidRPr="00B32FFF">
              <w:t xml:space="preserve"> </w:t>
            </w:r>
            <w:proofErr w:type="spellStart"/>
            <w:r w:rsidRPr="00B32FFF">
              <w:t>d'Urgence</w:t>
            </w:r>
            <w:proofErr w:type="spellEnd"/>
          </w:p>
        </w:tc>
        <w:tc>
          <w:tcPr>
            <w:tcW w:w="3115" w:type="dxa"/>
            <w:noWrap/>
            <w:hideMark/>
          </w:tcPr>
          <w:p w:rsidR="00AD760E" w:rsidRPr="00B32FFF" w:rsidRDefault="00AD760E" w:rsidP="007A6F33">
            <w:pPr>
              <w:pStyle w:val="NoSpacing"/>
            </w:pPr>
            <w:r w:rsidRPr="00B32FFF">
              <w:t>HI (</w:t>
            </w:r>
            <w:proofErr w:type="spellStart"/>
            <w:r w:rsidRPr="00B32FFF">
              <w:t>Goma</w:t>
            </w:r>
            <w:proofErr w:type="spellEnd"/>
            <w:r w:rsidRPr="00B32FFF">
              <w:t>, DRC)</w:t>
            </w:r>
          </w:p>
        </w:tc>
      </w:tr>
      <w:tr w:rsidR="00AD760E" w:rsidRPr="00B32FFF" w:rsidTr="00AD760E">
        <w:trPr>
          <w:trHeight w:val="300"/>
        </w:trPr>
        <w:tc>
          <w:tcPr>
            <w:tcW w:w="817" w:type="dxa"/>
          </w:tcPr>
          <w:p w:rsidR="00AD760E" w:rsidRPr="000C237D" w:rsidRDefault="00AD760E" w:rsidP="00AD760E">
            <w:pPr>
              <w:pStyle w:val="NoSpacing"/>
              <w:ind w:left="360"/>
              <w:rPr>
                <w:b/>
              </w:rPr>
            </w:pPr>
            <w:r>
              <w:rPr>
                <w:b/>
              </w:rPr>
              <w:t>31</w:t>
            </w:r>
          </w:p>
        </w:tc>
        <w:tc>
          <w:tcPr>
            <w:tcW w:w="1916" w:type="dxa"/>
            <w:noWrap/>
            <w:hideMark/>
          </w:tcPr>
          <w:p w:rsidR="00AD760E" w:rsidRPr="000C237D" w:rsidRDefault="00AD760E" w:rsidP="00B32FFF">
            <w:pPr>
              <w:pStyle w:val="NoSpacing"/>
              <w:rPr>
                <w:b/>
              </w:rPr>
            </w:pPr>
            <w:r w:rsidRPr="000C237D">
              <w:rPr>
                <w:b/>
              </w:rPr>
              <w:t>Jennifer Leger</w:t>
            </w:r>
          </w:p>
        </w:tc>
        <w:tc>
          <w:tcPr>
            <w:tcW w:w="3394" w:type="dxa"/>
            <w:gridSpan w:val="2"/>
            <w:noWrap/>
            <w:hideMark/>
          </w:tcPr>
          <w:p w:rsidR="00AD760E" w:rsidRPr="00B32FFF" w:rsidRDefault="00AD760E" w:rsidP="00B32FFF">
            <w:pPr>
              <w:pStyle w:val="NoSpacing"/>
            </w:pPr>
            <w:r w:rsidRPr="00B32FFF">
              <w:t>Specific Needs Technical Advisor</w:t>
            </w:r>
            <w:r w:rsidRPr="00B32FFF">
              <w:br/>
              <w:t>Emergency Response Division</w:t>
            </w:r>
          </w:p>
        </w:tc>
        <w:tc>
          <w:tcPr>
            <w:tcW w:w="3115" w:type="dxa"/>
            <w:noWrap/>
            <w:hideMark/>
          </w:tcPr>
          <w:p w:rsidR="00AD760E" w:rsidRPr="00B32FFF" w:rsidRDefault="00AD760E" w:rsidP="00B32FFF">
            <w:pPr>
              <w:pStyle w:val="NoSpacing"/>
            </w:pPr>
            <w:r w:rsidRPr="00B32FFF">
              <w:t>HI (Lyon)</w:t>
            </w:r>
          </w:p>
        </w:tc>
      </w:tr>
      <w:tr w:rsidR="00AD760E" w:rsidRPr="00B32FFF" w:rsidTr="00860FD2">
        <w:trPr>
          <w:trHeight w:val="300"/>
        </w:trPr>
        <w:tc>
          <w:tcPr>
            <w:tcW w:w="817" w:type="dxa"/>
            <w:tcBorders>
              <w:bottom w:val="single" w:sz="4" w:space="0" w:color="auto"/>
            </w:tcBorders>
          </w:tcPr>
          <w:p w:rsidR="00AD760E" w:rsidRPr="000C237D" w:rsidRDefault="00AD760E" w:rsidP="00AD760E">
            <w:pPr>
              <w:pStyle w:val="NoSpacing"/>
              <w:ind w:left="360"/>
              <w:rPr>
                <w:b/>
              </w:rPr>
            </w:pPr>
            <w:r>
              <w:rPr>
                <w:b/>
              </w:rPr>
              <w:t>32</w:t>
            </w:r>
          </w:p>
        </w:tc>
        <w:tc>
          <w:tcPr>
            <w:tcW w:w="1916" w:type="dxa"/>
            <w:tcBorders>
              <w:bottom w:val="single" w:sz="4" w:space="0" w:color="auto"/>
            </w:tcBorders>
            <w:noWrap/>
            <w:hideMark/>
          </w:tcPr>
          <w:p w:rsidR="00AD760E" w:rsidRPr="000C237D" w:rsidRDefault="00AD760E" w:rsidP="002B5569">
            <w:pPr>
              <w:pStyle w:val="NoSpacing"/>
              <w:rPr>
                <w:b/>
              </w:rPr>
            </w:pPr>
            <w:r w:rsidRPr="000C237D">
              <w:rPr>
                <w:b/>
              </w:rPr>
              <w:t xml:space="preserve">Nathalie </w:t>
            </w:r>
            <w:proofErr w:type="spellStart"/>
            <w:r w:rsidRPr="000C237D">
              <w:rPr>
                <w:b/>
              </w:rPr>
              <w:t>Herlemont</w:t>
            </w:r>
            <w:proofErr w:type="spellEnd"/>
            <w:r w:rsidRPr="000C237D">
              <w:rPr>
                <w:b/>
              </w:rPr>
              <w:t xml:space="preserve"> </w:t>
            </w:r>
          </w:p>
        </w:tc>
        <w:tc>
          <w:tcPr>
            <w:tcW w:w="3394" w:type="dxa"/>
            <w:gridSpan w:val="2"/>
            <w:tcBorders>
              <w:bottom w:val="single" w:sz="4" w:space="0" w:color="auto"/>
            </w:tcBorders>
            <w:noWrap/>
            <w:hideMark/>
          </w:tcPr>
          <w:p w:rsidR="00AD760E" w:rsidRPr="00B32FFF" w:rsidRDefault="00AD760E" w:rsidP="007764A2">
            <w:pPr>
              <w:pStyle w:val="NoSpacing"/>
            </w:pPr>
            <w:proofErr w:type="spellStart"/>
            <w:r w:rsidRPr="00B32FFF">
              <w:t>Responsable</w:t>
            </w:r>
            <w:proofErr w:type="spellEnd"/>
            <w:r w:rsidRPr="00B32FFF">
              <w:t xml:space="preserve"> Service Analyses et </w:t>
            </w:r>
            <w:proofErr w:type="spellStart"/>
            <w:r w:rsidRPr="00B32FFF">
              <w:t>Positionnement</w:t>
            </w:r>
            <w:proofErr w:type="spellEnd"/>
          </w:p>
        </w:tc>
        <w:tc>
          <w:tcPr>
            <w:tcW w:w="3115" w:type="dxa"/>
            <w:tcBorders>
              <w:bottom w:val="single" w:sz="4" w:space="0" w:color="auto"/>
            </w:tcBorders>
            <w:noWrap/>
            <w:hideMark/>
          </w:tcPr>
          <w:p w:rsidR="00AD760E" w:rsidRPr="00B32FFF" w:rsidRDefault="00AD760E" w:rsidP="00B32FFF">
            <w:pPr>
              <w:pStyle w:val="NoSpacing"/>
            </w:pPr>
            <w:r w:rsidRPr="00B32FFF">
              <w:t>HI (GVA)</w:t>
            </w:r>
          </w:p>
        </w:tc>
      </w:tr>
      <w:tr w:rsidR="00860FD2" w:rsidRPr="00170DA7" w:rsidTr="00860FD2">
        <w:trPr>
          <w:trHeight w:val="300"/>
        </w:trPr>
        <w:tc>
          <w:tcPr>
            <w:tcW w:w="817" w:type="dxa"/>
            <w:tcBorders>
              <w:top w:val="single" w:sz="4" w:space="0" w:color="auto"/>
              <w:left w:val="nil"/>
              <w:bottom w:val="single" w:sz="4" w:space="0" w:color="auto"/>
              <w:right w:val="nil"/>
            </w:tcBorders>
          </w:tcPr>
          <w:p w:rsidR="00860FD2" w:rsidRDefault="00860FD2" w:rsidP="00AD760E">
            <w:pPr>
              <w:pStyle w:val="NoSpacing"/>
              <w:ind w:left="360"/>
              <w:rPr>
                <w:b/>
              </w:rPr>
            </w:pPr>
          </w:p>
        </w:tc>
        <w:tc>
          <w:tcPr>
            <w:tcW w:w="1916" w:type="dxa"/>
            <w:tcBorders>
              <w:top w:val="single" w:sz="4" w:space="0" w:color="auto"/>
              <w:left w:val="nil"/>
              <w:bottom w:val="single" w:sz="4" w:space="0" w:color="auto"/>
              <w:right w:val="nil"/>
            </w:tcBorders>
            <w:noWrap/>
            <w:hideMark/>
          </w:tcPr>
          <w:p w:rsidR="00860FD2" w:rsidRDefault="00860FD2" w:rsidP="00170DA7">
            <w:pPr>
              <w:pStyle w:val="NoSpacing"/>
              <w:rPr>
                <w:b/>
              </w:rPr>
            </w:pPr>
          </w:p>
          <w:p w:rsidR="00DB1BF0" w:rsidRPr="00DB1BF0" w:rsidRDefault="00DB1BF0" w:rsidP="00170DA7">
            <w:pPr>
              <w:pStyle w:val="NoSpacing"/>
            </w:pPr>
            <w:r w:rsidRPr="00DB1BF0">
              <w:t>Pakistan</w:t>
            </w:r>
            <w:r>
              <w:t xml:space="preserve"> Case Study</w:t>
            </w:r>
          </w:p>
        </w:tc>
        <w:tc>
          <w:tcPr>
            <w:tcW w:w="3361" w:type="dxa"/>
            <w:tcBorders>
              <w:top w:val="single" w:sz="4" w:space="0" w:color="auto"/>
              <w:left w:val="nil"/>
              <w:bottom w:val="single" w:sz="4" w:space="0" w:color="auto"/>
              <w:right w:val="nil"/>
            </w:tcBorders>
          </w:tcPr>
          <w:p w:rsidR="00860FD2" w:rsidRPr="00173A9C" w:rsidRDefault="00860FD2" w:rsidP="007A6F33">
            <w:pPr>
              <w:pStyle w:val="NoSpacing"/>
            </w:pPr>
          </w:p>
        </w:tc>
        <w:tc>
          <w:tcPr>
            <w:tcW w:w="3148" w:type="dxa"/>
            <w:gridSpan w:val="2"/>
            <w:tcBorders>
              <w:top w:val="single" w:sz="4" w:space="0" w:color="auto"/>
              <w:left w:val="nil"/>
              <w:bottom w:val="single" w:sz="4" w:space="0" w:color="auto"/>
              <w:right w:val="nil"/>
            </w:tcBorders>
          </w:tcPr>
          <w:p w:rsidR="00860FD2" w:rsidRPr="00173A9C" w:rsidRDefault="00860FD2" w:rsidP="007A6F33">
            <w:pPr>
              <w:pStyle w:val="NoSpacing"/>
            </w:pPr>
          </w:p>
        </w:tc>
      </w:tr>
      <w:tr w:rsidR="00AD760E" w:rsidRPr="00170DA7" w:rsidTr="00860FD2">
        <w:trPr>
          <w:trHeight w:val="300"/>
        </w:trPr>
        <w:tc>
          <w:tcPr>
            <w:tcW w:w="817" w:type="dxa"/>
            <w:tcBorders>
              <w:top w:val="single" w:sz="4" w:space="0" w:color="auto"/>
            </w:tcBorders>
          </w:tcPr>
          <w:p w:rsidR="00AD760E" w:rsidRPr="00116F90" w:rsidRDefault="00AD760E" w:rsidP="00AD760E">
            <w:pPr>
              <w:pStyle w:val="NoSpacing"/>
              <w:ind w:left="360"/>
              <w:rPr>
                <w:b/>
              </w:rPr>
            </w:pPr>
            <w:r>
              <w:rPr>
                <w:b/>
              </w:rPr>
              <w:t>33</w:t>
            </w:r>
          </w:p>
        </w:tc>
        <w:tc>
          <w:tcPr>
            <w:tcW w:w="1916" w:type="dxa"/>
            <w:tcBorders>
              <w:top w:val="single" w:sz="4" w:space="0" w:color="auto"/>
            </w:tcBorders>
            <w:noWrap/>
            <w:hideMark/>
          </w:tcPr>
          <w:p w:rsidR="00AD760E" w:rsidRPr="00116F90" w:rsidRDefault="00AD760E" w:rsidP="00170DA7">
            <w:pPr>
              <w:pStyle w:val="NoSpacing"/>
              <w:rPr>
                <w:b/>
              </w:rPr>
            </w:pPr>
            <w:proofErr w:type="spellStart"/>
            <w:r w:rsidRPr="00116F90">
              <w:rPr>
                <w:b/>
              </w:rPr>
              <w:t>Ajeeba</w:t>
            </w:r>
            <w:proofErr w:type="spellEnd"/>
            <w:r w:rsidRPr="00116F90">
              <w:rPr>
                <w:b/>
              </w:rPr>
              <w:t xml:space="preserve"> </w:t>
            </w:r>
            <w:proofErr w:type="spellStart"/>
            <w:r w:rsidRPr="00116F90">
              <w:rPr>
                <w:b/>
              </w:rPr>
              <w:t>Aslam</w:t>
            </w:r>
            <w:proofErr w:type="spellEnd"/>
          </w:p>
        </w:tc>
        <w:tc>
          <w:tcPr>
            <w:tcW w:w="3361" w:type="dxa"/>
            <w:tcBorders>
              <w:top w:val="single" w:sz="4" w:space="0" w:color="auto"/>
            </w:tcBorders>
          </w:tcPr>
          <w:p w:rsidR="00AD760E" w:rsidRPr="00173A9C" w:rsidRDefault="00AD760E" w:rsidP="007A6F33">
            <w:pPr>
              <w:pStyle w:val="NoSpacing"/>
            </w:pPr>
          </w:p>
        </w:tc>
        <w:tc>
          <w:tcPr>
            <w:tcW w:w="3148" w:type="dxa"/>
            <w:gridSpan w:val="2"/>
            <w:tcBorders>
              <w:top w:val="single" w:sz="4" w:space="0" w:color="auto"/>
            </w:tcBorders>
          </w:tcPr>
          <w:p w:rsidR="00AD760E" w:rsidRPr="00173A9C" w:rsidRDefault="00AD760E" w:rsidP="007A6F33">
            <w:pPr>
              <w:pStyle w:val="NoSpacing"/>
            </w:pPr>
            <w:r w:rsidRPr="00173A9C">
              <w:t>HAI</w:t>
            </w:r>
          </w:p>
        </w:tc>
      </w:tr>
      <w:tr w:rsidR="00AD760E" w:rsidRPr="00170DA7" w:rsidTr="00AD760E">
        <w:trPr>
          <w:trHeight w:val="300"/>
        </w:trPr>
        <w:tc>
          <w:tcPr>
            <w:tcW w:w="817" w:type="dxa"/>
          </w:tcPr>
          <w:p w:rsidR="00AD760E" w:rsidRPr="00116F90" w:rsidRDefault="00AD760E" w:rsidP="00AD760E">
            <w:pPr>
              <w:pStyle w:val="NoSpacing"/>
              <w:ind w:left="360"/>
              <w:rPr>
                <w:b/>
              </w:rPr>
            </w:pPr>
            <w:r>
              <w:rPr>
                <w:b/>
              </w:rPr>
              <w:t>34</w:t>
            </w:r>
          </w:p>
        </w:tc>
        <w:tc>
          <w:tcPr>
            <w:tcW w:w="1916" w:type="dxa"/>
            <w:noWrap/>
            <w:hideMark/>
          </w:tcPr>
          <w:p w:rsidR="00AD760E" w:rsidRPr="00116F90" w:rsidRDefault="00AD760E" w:rsidP="00170DA7">
            <w:pPr>
              <w:pStyle w:val="NoSpacing"/>
              <w:rPr>
                <w:b/>
              </w:rPr>
            </w:pPr>
            <w:proofErr w:type="spellStart"/>
            <w:r w:rsidRPr="00116F90">
              <w:rPr>
                <w:b/>
              </w:rPr>
              <w:t>Mahmood</w:t>
            </w:r>
            <w:proofErr w:type="spellEnd"/>
            <w:r w:rsidRPr="00116F90">
              <w:rPr>
                <w:b/>
              </w:rPr>
              <w:t>?</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HAI</w:t>
            </w:r>
          </w:p>
        </w:tc>
      </w:tr>
      <w:tr w:rsidR="00AD760E" w:rsidRPr="00170DA7" w:rsidTr="00AD760E">
        <w:trPr>
          <w:trHeight w:val="300"/>
        </w:trPr>
        <w:tc>
          <w:tcPr>
            <w:tcW w:w="817" w:type="dxa"/>
          </w:tcPr>
          <w:p w:rsidR="00AD760E" w:rsidRPr="00116F90" w:rsidRDefault="00AD760E" w:rsidP="00AD760E">
            <w:pPr>
              <w:pStyle w:val="NoSpacing"/>
              <w:ind w:left="360"/>
              <w:rPr>
                <w:b/>
              </w:rPr>
            </w:pPr>
            <w:r>
              <w:rPr>
                <w:b/>
              </w:rPr>
              <w:t>35</w:t>
            </w:r>
          </w:p>
        </w:tc>
        <w:tc>
          <w:tcPr>
            <w:tcW w:w="1916" w:type="dxa"/>
            <w:noWrap/>
            <w:hideMark/>
          </w:tcPr>
          <w:p w:rsidR="00AD760E" w:rsidRPr="00116F90" w:rsidRDefault="00AD760E" w:rsidP="00170DA7">
            <w:pPr>
              <w:pStyle w:val="NoSpacing"/>
              <w:rPr>
                <w:b/>
              </w:rPr>
            </w:pPr>
            <w:r w:rsidRPr="00116F90">
              <w:rPr>
                <w:b/>
              </w:rPr>
              <w:t>Anwar</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HAI</w:t>
            </w:r>
          </w:p>
        </w:tc>
      </w:tr>
      <w:tr w:rsidR="00AD760E" w:rsidRPr="00170DA7" w:rsidTr="00AD760E">
        <w:trPr>
          <w:trHeight w:val="300"/>
        </w:trPr>
        <w:tc>
          <w:tcPr>
            <w:tcW w:w="817" w:type="dxa"/>
          </w:tcPr>
          <w:p w:rsidR="00AD760E" w:rsidRPr="00116F90" w:rsidRDefault="00AD760E" w:rsidP="00FF428E">
            <w:pPr>
              <w:pStyle w:val="NoSpacing"/>
              <w:ind w:left="360"/>
              <w:rPr>
                <w:b/>
              </w:rPr>
            </w:pPr>
          </w:p>
        </w:tc>
        <w:tc>
          <w:tcPr>
            <w:tcW w:w="1916" w:type="dxa"/>
            <w:noWrap/>
            <w:hideMark/>
          </w:tcPr>
          <w:p w:rsidR="00AD760E" w:rsidRPr="00116F90" w:rsidRDefault="00AD760E" w:rsidP="00170DA7">
            <w:pPr>
              <w:pStyle w:val="NoSpacing"/>
              <w:rPr>
                <w:b/>
              </w:rPr>
            </w:pPr>
            <w:r w:rsidRPr="00116F90">
              <w:rPr>
                <w:b/>
              </w:rPr>
              <w:t xml:space="preserve">Boris </w:t>
            </w:r>
            <w:proofErr w:type="spellStart"/>
            <w:r w:rsidRPr="00116F90">
              <w:rPr>
                <w:b/>
              </w:rPr>
              <w:t>Arist</w:t>
            </w:r>
            <w:r w:rsidR="00037CF1" w:rsidRPr="00037CF1">
              <w:rPr>
                <w:b/>
              </w:rPr>
              <w:t>í</w:t>
            </w:r>
            <w:r w:rsidRPr="00116F90">
              <w:rPr>
                <w:b/>
              </w:rPr>
              <w:t>n</w:t>
            </w:r>
            <w:proofErr w:type="spellEnd"/>
            <w:r w:rsidRPr="00116F90">
              <w:rPr>
                <w:b/>
              </w:rPr>
              <w:t xml:space="preserve"> </w:t>
            </w:r>
            <w:r w:rsidR="00DD6B92" w:rsidRPr="00DD6B92">
              <w:rPr>
                <w:b/>
              </w:rPr>
              <w:t>González</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 xml:space="preserve">HAI </w:t>
            </w:r>
          </w:p>
        </w:tc>
      </w:tr>
      <w:tr w:rsidR="00AD760E" w:rsidRPr="00170DA7" w:rsidTr="00AD760E">
        <w:trPr>
          <w:trHeight w:val="300"/>
        </w:trPr>
        <w:tc>
          <w:tcPr>
            <w:tcW w:w="817" w:type="dxa"/>
          </w:tcPr>
          <w:p w:rsidR="00AD760E" w:rsidRPr="00116F90" w:rsidRDefault="00AD760E" w:rsidP="00AD760E">
            <w:pPr>
              <w:pStyle w:val="NoSpacing"/>
              <w:ind w:left="360"/>
              <w:rPr>
                <w:b/>
              </w:rPr>
            </w:pPr>
          </w:p>
        </w:tc>
        <w:tc>
          <w:tcPr>
            <w:tcW w:w="1916" w:type="dxa"/>
            <w:noWrap/>
            <w:hideMark/>
          </w:tcPr>
          <w:p w:rsidR="00AD760E" w:rsidRPr="00116F90" w:rsidRDefault="00AD760E" w:rsidP="00116F90">
            <w:pPr>
              <w:pStyle w:val="NoSpacing"/>
              <w:rPr>
                <w:b/>
              </w:rPr>
            </w:pP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36</w:t>
            </w:r>
          </w:p>
        </w:tc>
        <w:tc>
          <w:tcPr>
            <w:tcW w:w="1916" w:type="dxa"/>
            <w:noWrap/>
            <w:hideMark/>
          </w:tcPr>
          <w:p w:rsidR="00AD760E" w:rsidRPr="00116F90" w:rsidRDefault="00AD760E" w:rsidP="00116F90">
            <w:pPr>
              <w:pStyle w:val="NoSpacing"/>
              <w:rPr>
                <w:b/>
              </w:rPr>
            </w:pPr>
            <w:r w:rsidRPr="00116F90">
              <w:rPr>
                <w:b/>
              </w:rPr>
              <w:t xml:space="preserve"> </w:t>
            </w:r>
            <w:proofErr w:type="spellStart"/>
            <w:r w:rsidRPr="00116F90">
              <w:rPr>
                <w:b/>
              </w:rPr>
              <w:t>Nauman</w:t>
            </w:r>
            <w:proofErr w:type="spellEnd"/>
            <w:r w:rsidRPr="00116F90">
              <w:rPr>
                <w:b/>
              </w:rPr>
              <w:t xml:space="preserve"> Ahmad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PHKN</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37</w:t>
            </w:r>
          </w:p>
        </w:tc>
        <w:tc>
          <w:tcPr>
            <w:tcW w:w="1916" w:type="dxa"/>
            <w:noWrap/>
            <w:hideMark/>
          </w:tcPr>
          <w:p w:rsidR="00AD760E" w:rsidRPr="00116F90" w:rsidRDefault="00AD760E" w:rsidP="00116F90">
            <w:pPr>
              <w:pStyle w:val="NoSpacing"/>
              <w:rPr>
                <w:b/>
              </w:rPr>
            </w:pPr>
            <w:proofErr w:type="spellStart"/>
            <w:r w:rsidRPr="00116F90">
              <w:rPr>
                <w:b/>
              </w:rPr>
              <w:t>Tallal</w:t>
            </w:r>
            <w:proofErr w:type="spellEnd"/>
            <w:r w:rsidRPr="00116F90">
              <w:rPr>
                <w:b/>
              </w:rPr>
              <w:t xml:space="preserve"> bin </w:t>
            </w:r>
            <w:proofErr w:type="spellStart"/>
            <w:r w:rsidRPr="00116F90">
              <w:rPr>
                <w:b/>
              </w:rPr>
              <w:t>Aftab</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HRDS</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38</w:t>
            </w:r>
          </w:p>
        </w:tc>
        <w:tc>
          <w:tcPr>
            <w:tcW w:w="1916" w:type="dxa"/>
            <w:noWrap/>
            <w:hideMark/>
          </w:tcPr>
          <w:p w:rsidR="00AD760E" w:rsidRPr="00116F90" w:rsidRDefault="00AD760E" w:rsidP="00116F90">
            <w:pPr>
              <w:pStyle w:val="NoSpacing"/>
              <w:rPr>
                <w:b/>
              </w:rPr>
            </w:pPr>
            <w:proofErr w:type="spellStart"/>
            <w:r w:rsidRPr="00116F90">
              <w:rPr>
                <w:b/>
              </w:rPr>
              <w:t>Tasleem</w:t>
            </w:r>
            <w:proofErr w:type="spellEnd"/>
            <w:r w:rsidRPr="00116F90">
              <w:rPr>
                <w:b/>
              </w:rPr>
              <w:t xml:space="preserve"> </w:t>
            </w:r>
            <w:proofErr w:type="spellStart"/>
            <w:r w:rsidRPr="00116F90">
              <w:rPr>
                <w:b/>
              </w:rPr>
              <w:t>Akhtar</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Green Development Org.</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39</w:t>
            </w:r>
          </w:p>
        </w:tc>
        <w:tc>
          <w:tcPr>
            <w:tcW w:w="1916" w:type="dxa"/>
            <w:noWrap/>
            <w:hideMark/>
          </w:tcPr>
          <w:p w:rsidR="00AD760E" w:rsidRPr="00116F90" w:rsidRDefault="00AD760E" w:rsidP="00116F90">
            <w:pPr>
              <w:pStyle w:val="NoSpacing"/>
              <w:rPr>
                <w:b/>
              </w:rPr>
            </w:pPr>
            <w:proofErr w:type="spellStart"/>
            <w:r w:rsidRPr="00116F90">
              <w:rPr>
                <w:b/>
              </w:rPr>
              <w:t>Iftikhar</w:t>
            </w:r>
            <w:proofErr w:type="spellEnd"/>
            <w:r w:rsidRPr="00116F90">
              <w:rPr>
                <w:b/>
              </w:rPr>
              <w:t xml:space="preserve"> </w:t>
            </w:r>
            <w:proofErr w:type="spellStart"/>
            <w:r w:rsidRPr="00116F90">
              <w:rPr>
                <w:b/>
              </w:rPr>
              <w:t>Ahsan</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116F90">
            <w:pPr>
              <w:pStyle w:val="NoSpacing"/>
            </w:pPr>
            <w:r w:rsidRPr="00173A9C">
              <w:t>MOJAZ Foundation</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40</w:t>
            </w:r>
          </w:p>
        </w:tc>
        <w:tc>
          <w:tcPr>
            <w:tcW w:w="1916" w:type="dxa"/>
            <w:noWrap/>
            <w:hideMark/>
          </w:tcPr>
          <w:p w:rsidR="00AD760E" w:rsidRPr="00116F90" w:rsidRDefault="00AD760E" w:rsidP="00116F90">
            <w:pPr>
              <w:pStyle w:val="NoSpacing"/>
              <w:rPr>
                <w:b/>
              </w:rPr>
            </w:pPr>
            <w:r w:rsidRPr="00116F90">
              <w:rPr>
                <w:b/>
              </w:rPr>
              <w:t xml:space="preserve">Dr </w:t>
            </w:r>
            <w:proofErr w:type="spellStart"/>
            <w:r w:rsidRPr="00116F90">
              <w:rPr>
                <w:b/>
              </w:rPr>
              <w:t>Jandeed</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HRDS</w:t>
            </w:r>
          </w:p>
        </w:tc>
      </w:tr>
      <w:tr w:rsidR="00AD760E" w:rsidRPr="00170DA7" w:rsidTr="00AD760E">
        <w:trPr>
          <w:trHeight w:val="300"/>
        </w:trPr>
        <w:tc>
          <w:tcPr>
            <w:tcW w:w="817" w:type="dxa"/>
          </w:tcPr>
          <w:p w:rsidR="00AD760E" w:rsidRPr="00116F90" w:rsidRDefault="00AD760E" w:rsidP="00FF428E">
            <w:pPr>
              <w:pStyle w:val="NoSpacing"/>
              <w:ind w:left="360"/>
              <w:rPr>
                <w:b/>
              </w:rPr>
            </w:pPr>
          </w:p>
        </w:tc>
        <w:tc>
          <w:tcPr>
            <w:tcW w:w="1916" w:type="dxa"/>
            <w:noWrap/>
            <w:hideMark/>
          </w:tcPr>
          <w:p w:rsidR="00AD760E" w:rsidRPr="00116F90" w:rsidRDefault="00AD760E" w:rsidP="00170DA7">
            <w:pPr>
              <w:pStyle w:val="NoSpacing"/>
              <w:rPr>
                <w:b/>
              </w:rPr>
            </w:pP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41</w:t>
            </w:r>
          </w:p>
        </w:tc>
        <w:tc>
          <w:tcPr>
            <w:tcW w:w="1916" w:type="dxa"/>
            <w:noWrap/>
            <w:hideMark/>
          </w:tcPr>
          <w:p w:rsidR="00AD760E" w:rsidRPr="00116F90" w:rsidRDefault="00AD760E" w:rsidP="00116F90">
            <w:pPr>
              <w:pStyle w:val="NoSpacing"/>
              <w:rPr>
                <w:b/>
              </w:rPr>
            </w:pPr>
            <w:r w:rsidRPr="00116F90">
              <w:rPr>
                <w:b/>
              </w:rPr>
              <w:t xml:space="preserve">Abdul </w:t>
            </w:r>
            <w:proofErr w:type="spellStart"/>
            <w:r w:rsidRPr="00116F90">
              <w:rPr>
                <w:b/>
              </w:rPr>
              <w:t>Latif</w:t>
            </w:r>
            <w:proofErr w:type="spellEnd"/>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RDP</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42</w:t>
            </w:r>
          </w:p>
        </w:tc>
        <w:tc>
          <w:tcPr>
            <w:tcW w:w="1916" w:type="dxa"/>
            <w:noWrap/>
            <w:hideMark/>
          </w:tcPr>
          <w:p w:rsidR="00AD760E" w:rsidRPr="00116F90" w:rsidRDefault="00AD760E" w:rsidP="00116F90">
            <w:pPr>
              <w:pStyle w:val="NoSpacing"/>
              <w:rPr>
                <w:b/>
              </w:rPr>
            </w:pPr>
            <w:r w:rsidRPr="00116F90">
              <w:rPr>
                <w:b/>
              </w:rPr>
              <w:t xml:space="preserve">Ali Hassan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SPO</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lastRenderedPageBreak/>
              <w:t>43</w:t>
            </w:r>
          </w:p>
        </w:tc>
        <w:tc>
          <w:tcPr>
            <w:tcW w:w="1916" w:type="dxa"/>
            <w:noWrap/>
            <w:hideMark/>
          </w:tcPr>
          <w:p w:rsidR="00AD760E" w:rsidRPr="00116F90" w:rsidRDefault="00AD760E" w:rsidP="00116F90">
            <w:pPr>
              <w:pStyle w:val="NoSpacing"/>
              <w:rPr>
                <w:b/>
              </w:rPr>
            </w:pPr>
            <w:r w:rsidRPr="00116F90">
              <w:rPr>
                <w:b/>
              </w:rPr>
              <w:t xml:space="preserve">Mohamed </w:t>
            </w:r>
            <w:proofErr w:type="spellStart"/>
            <w:r w:rsidRPr="00116F90">
              <w:rPr>
                <w:b/>
              </w:rPr>
              <w:t>Ishbal</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SPO</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44</w:t>
            </w:r>
          </w:p>
        </w:tc>
        <w:tc>
          <w:tcPr>
            <w:tcW w:w="1916" w:type="dxa"/>
            <w:noWrap/>
            <w:hideMark/>
          </w:tcPr>
          <w:p w:rsidR="00AD760E" w:rsidRPr="00116F90" w:rsidRDefault="00AD760E" w:rsidP="00116F90">
            <w:pPr>
              <w:pStyle w:val="NoSpacing"/>
              <w:rPr>
                <w:b/>
              </w:rPr>
            </w:pPr>
            <w:proofErr w:type="spellStart"/>
            <w:r w:rsidRPr="00116F90">
              <w:rPr>
                <w:b/>
              </w:rPr>
              <w:t>Zainab</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NRC</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45</w:t>
            </w:r>
          </w:p>
        </w:tc>
        <w:tc>
          <w:tcPr>
            <w:tcW w:w="1916" w:type="dxa"/>
            <w:noWrap/>
            <w:hideMark/>
          </w:tcPr>
          <w:p w:rsidR="00AD760E" w:rsidRPr="00116F90" w:rsidRDefault="00AD760E" w:rsidP="00116F90">
            <w:pPr>
              <w:pStyle w:val="NoSpacing"/>
              <w:rPr>
                <w:b/>
              </w:rPr>
            </w:pPr>
            <w:proofErr w:type="spellStart"/>
            <w:r w:rsidRPr="00116F90">
              <w:rPr>
                <w:b/>
              </w:rPr>
              <w:t>Zubar</w:t>
            </w:r>
            <w:proofErr w:type="spellEnd"/>
            <w:r w:rsidRPr="00116F90">
              <w:rPr>
                <w:b/>
              </w:rPr>
              <w:t xml:space="preserve"> </w:t>
            </w:r>
            <w:proofErr w:type="spellStart"/>
            <w:r w:rsidRPr="00116F90">
              <w:rPr>
                <w:b/>
              </w:rPr>
              <w:t>Shahazad</w:t>
            </w:r>
            <w:proofErr w:type="spellEnd"/>
            <w:r w:rsidRPr="00116F90">
              <w:rPr>
                <w:b/>
              </w:rPr>
              <w:t xml:space="preserve">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HAI</w:t>
            </w:r>
          </w:p>
        </w:tc>
      </w:tr>
      <w:tr w:rsidR="00AD760E" w:rsidRPr="00170DA7" w:rsidTr="00AD760E">
        <w:trPr>
          <w:trHeight w:val="300"/>
        </w:trPr>
        <w:tc>
          <w:tcPr>
            <w:tcW w:w="817" w:type="dxa"/>
          </w:tcPr>
          <w:p w:rsidR="00AD760E" w:rsidRPr="00116F90" w:rsidRDefault="00FF428E" w:rsidP="00FF428E">
            <w:pPr>
              <w:pStyle w:val="NoSpacing"/>
              <w:ind w:left="360"/>
              <w:rPr>
                <w:b/>
              </w:rPr>
            </w:pPr>
            <w:r>
              <w:rPr>
                <w:b/>
              </w:rPr>
              <w:t>46</w:t>
            </w:r>
          </w:p>
        </w:tc>
        <w:tc>
          <w:tcPr>
            <w:tcW w:w="1916" w:type="dxa"/>
            <w:noWrap/>
            <w:hideMark/>
          </w:tcPr>
          <w:p w:rsidR="00AD760E" w:rsidRPr="00116F90" w:rsidRDefault="00AD760E" w:rsidP="00116F90">
            <w:pPr>
              <w:pStyle w:val="NoSpacing"/>
              <w:rPr>
                <w:b/>
              </w:rPr>
            </w:pPr>
            <w:r w:rsidRPr="00116F90">
              <w:rPr>
                <w:b/>
              </w:rPr>
              <w:t xml:space="preserve">Mohammed Imran </w:t>
            </w:r>
          </w:p>
        </w:tc>
        <w:tc>
          <w:tcPr>
            <w:tcW w:w="3361" w:type="dxa"/>
          </w:tcPr>
          <w:p w:rsidR="00AD760E" w:rsidRPr="00173A9C" w:rsidRDefault="00AD760E" w:rsidP="007A6F33">
            <w:pPr>
              <w:pStyle w:val="NoSpacing"/>
            </w:pPr>
          </w:p>
        </w:tc>
        <w:tc>
          <w:tcPr>
            <w:tcW w:w="3148" w:type="dxa"/>
            <w:gridSpan w:val="2"/>
          </w:tcPr>
          <w:p w:rsidR="00AD760E" w:rsidRPr="00173A9C" w:rsidRDefault="00AD760E" w:rsidP="007A6F33">
            <w:pPr>
              <w:pStyle w:val="NoSpacing"/>
            </w:pPr>
            <w:r w:rsidRPr="00173A9C">
              <w:t>HAI</w:t>
            </w:r>
          </w:p>
        </w:tc>
      </w:tr>
    </w:tbl>
    <w:p w:rsidR="00170DA7" w:rsidRDefault="00170DA7" w:rsidP="00D13862">
      <w:pPr>
        <w:pStyle w:val="NoSpacing"/>
        <w:rPr>
          <w:b/>
        </w:rPr>
      </w:pPr>
    </w:p>
    <w:p w:rsidR="000C237D" w:rsidRDefault="000C237D">
      <w:pPr>
        <w:rPr>
          <w:b/>
        </w:rPr>
      </w:pPr>
      <w:r>
        <w:rPr>
          <w:b/>
        </w:rPr>
        <w:br w:type="page"/>
      </w:r>
    </w:p>
    <w:p w:rsidR="001064E9" w:rsidRDefault="001064E9" w:rsidP="001064E9">
      <w:pPr>
        <w:pStyle w:val="Heading1"/>
        <w:rPr>
          <w:color w:val="auto"/>
        </w:rPr>
      </w:pPr>
      <w:bookmarkStart w:id="11" w:name="_Toc352225938"/>
      <w:r>
        <w:rPr>
          <w:color w:val="auto"/>
        </w:rPr>
        <w:lastRenderedPageBreak/>
        <w:t>Annex 2: Documents Reviewed</w:t>
      </w:r>
      <w:bookmarkEnd w:id="11"/>
    </w:p>
    <w:tbl>
      <w:tblPr>
        <w:tblStyle w:val="TableGrid"/>
        <w:tblW w:w="0" w:type="auto"/>
        <w:tblLook w:val="04A0" w:firstRow="1" w:lastRow="0" w:firstColumn="1" w:lastColumn="0" w:noHBand="0" w:noVBand="1"/>
      </w:tblPr>
      <w:tblGrid>
        <w:gridCol w:w="8897"/>
      </w:tblGrid>
      <w:tr w:rsidR="00C73566" w:rsidRPr="00667D85" w:rsidTr="007A6F33">
        <w:trPr>
          <w:trHeight w:val="300"/>
        </w:trPr>
        <w:tc>
          <w:tcPr>
            <w:tcW w:w="8897" w:type="dxa"/>
            <w:noWrap/>
            <w:hideMark/>
          </w:tcPr>
          <w:p w:rsidR="00C73566" w:rsidRPr="00667D85" w:rsidRDefault="00C73566" w:rsidP="007A6F33">
            <w:r w:rsidRPr="00667D85">
              <w:t>CAP 2012, (?) Humanitarian Program Cycle Reference Module: Coordinated Assessments (Version:  13 November 2012)</w:t>
            </w:r>
          </w:p>
        </w:tc>
      </w:tr>
      <w:tr w:rsidR="00107693" w:rsidRPr="00667D85" w:rsidTr="00107693">
        <w:trPr>
          <w:trHeight w:val="300"/>
        </w:trPr>
        <w:tc>
          <w:tcPr>
            <w:tcW w:w="8897" w:type="dxa"/>
            <w:noWrap/>
            <w:hideMark/>
          </w:tcPr>
          <w:p w:rsidR="00107693" w:rsidRPr="00667D85" w:rsidRDefault="00107693" w:rsidP="00A84F3B">
            <w:r w:rsidRPr="00667D85">
              <w:t xml:space="preserve">Earl, S; </w:t>
            </w:r>
            <w:proofErr w:type="spellStart"/>
            <w:r w:rsidRPr="00667D85">
              <w:t>Carden</w:t>
            </w:r>
            <w:proofErr w:type="spellEnd"/>
            <w:r w:rsidRPr="00667D85">
              <w:t xml:space="preserve">, F; and </w:t>
            </w:r>
            <w:proofErr w:type="spellStart"/>
            <w:r w:rsidRPr="00667D85">
              <w:t>Smutylo</w:t>
            </w:r>
            <w:proofErr w:type="spellEnd"/>
            <w:r w:rsidRPr="00667D85">
              <w:t xml:space="preserve"> T; Outcome Mapping: Building Learning and Reflection into Development Programs (International Development Research Centre, 2001)</w:t>
            </w:r>
          </w:p>
        </w:tc>
      </w:tr>
      <w:tr w:rsidR="00C73566" w:rsidRPr="00667D85" w:rsidTr="007A6F33">
        <w:trPr>
          <w:trHeight w:val="300"/>
        </w:trPr>
        <w:tc>
          <w:tcPr>
            <w:tcW w:w="8897" w:type="dxa"/>
            <w:noWrap/>
            <w:hideMark/>
          </w:tcPr>
          <w:p w:rsidR="00C73566" w:rsidRPr="00667D85" w:rsidRDefault="00C73566" w:rsidP="007A6F33">
            <w:r w:rsidRPr="00667D85">
              <w:t xml:space="preserve">Food Security and Agriculture Cluster, Gender Equality Policies and Programmes; (Draft 1, 27 Jan) </w:t>
            </w:r>
          </w:p>
        </w:tc>
      </w:tr>
      <w:tr w:rsidR="00C07365" w:rsidRPr="00667D85" w:rsidTr="007A6F33">
        <w:trPr>
          <w:trHeight w:val="300"/>
        </w:trPr>
        <w:tc>
          <w:tcPr>
            <w:tcW w:w="8897" w:type="dxa"/>
            <w:noWrap/>
            <w:hideMark/>
          </w:tcPr>
          <w:p w:rsidR="00C07365" w:rsidRPr="00667D85" w:rsidRDefault="00C07365" w:rsidP="006275DA">
            <w:r w:rsidRPr="00667D85">
              <w:t xml:space="preserve">Gray, B; </w:t>
            </w:r>
            <w:r w:rsidRPr="00667D85">
              <w:rPr>
                <w:bCs/>
              </w:rPr>
              <w:t xml:space="preserve">Review of a secondment programme between the Division for International Protection of </w:t>
            </w:r>
            <w:r w:rsidR="006275DA">
              <w:rPr>
                <w:bCs/>
              </w:rPr>
              <w:t xml:space="preserve">UNHCR </w:t>
            </w:r>
            <w:r w:rsidRPr="00667D85">
              <w:rPr>
                <w:bCs/>
              </w:rPr>
              <w:t xml:space="preserve">and </w:t>
            </w:r>
            <w:proofErr w:type="spellStart"/>
            <w:r w:rsidRPr="00667D85">
              <w:rPr>
                <w:bCs/>
              </w:rPr>
              <w:t>HelpAge</w:t>
            </w:r>
            <w:proofErr w:type="spellEnd"/>
            <w:r w:rsidRPr="00667D85">
              <w:rPr>
                <w:bCs/>
              </w:rPr>
              <w:t xml:space="preserve"> International, 2008-2011 January 2012</w:t>
            </w:r>
          </w:p>
        </w:tc>
      </w:tr>
      <w:tr w:rsidR="00C73566" w:rsidRPr="00667D85" w:rsidTr="007A6F33">
        <w:trPr>
          <w:trHeight w:val="300"/>
        </w:trPr>
        <w:tc>
          <w:tcPr>
            <w:tcW w:w="8897" w:type="dxa"/>
            <w:noWrap/>
            <w:hideMark/>
          </w:tcPr>
          <w:p w:rsidR="00C73566" w:rsidRPr="00667D85" w:rsidRDefault="00C73566" w:rsidP="007A6F33">
            <w:proofErr w:type="spellStart"/>
            <w:r w:rsidRPr="00667D85">
              <w:t>Groupe</w:t>
            </w:r>
            <w:proofErr w:type="spellEnd"/>
            <w:r w:rsidRPr="00667D85">
              <w:t xml:space="preserve"> URD; and GPPI</w:t>
            </w:r>
            <w:r>
              <w:t xml:space="preserve">, </w:t>
            </w:r>
            <w:r w:rsidRPr="00667D85">
              <w:t>Cluster Approach Evaluation 2, Synthesis Report, IASC Cluster Approach Evaluation, 2nd Phase, April 2010</w:t>
            </w:r>
          </w:p>
        </w:tc>
      </w:tr>
      <w:tr w:rsidR="00107693" w:rsidRPr="00667D85" w:rsidTr="00107693">
        <w:trPr>
          <w:trHeight w:val="300"/>
        </w:trPr>
        <w:tc>
          <w:tcPr>
            <w:tcW w:w="8897" w:type="dxa"/>
            <w:noWrap/>
            <w:hideMark/>
          </w:tcPr>
          <w:p w:rsidR="00107693" w:rsidRPr="00667D85" w:rsidRDefault="00107693">
            <w:r w:rsidRPr="00667D85">
              <w:t xml:space="preserve">HAI 2011, ECHO Single Form for Humanitarian Aid and Actions, Grant Agreement </w:t>
            </w:r>
          </w:p>
        </w:tc>
      </w:tr>
      <w:tr w:rsidR="00C07365" w:rsidRPr="00667D85" w:rsidTr="007A6F33">
        <w:trPr>
          <w:trHeight w:val="300"/>
        </w:trPr>
        <w:tc>
          <w:tcPr>
            <w:tcW w:w="8897" w:type="dxa"/>
            <w:noWrap/>
            <w:hideMark/>
          </w:tcPr>
          <w:p w:rsidR="00C07365" w:rsidRPr="00667D85" w:rsidRDefault="00C07365" w:rsidP="007A6F33">
            <w:r w:rsidRPr="00667D85">
              <w:t>HAI 2012, Interim Report</w:t>
            </w:r>
          </w:p>
        </w:tc>
      </w:tr>
      <w:tr w:rsidR="00C07365" w:rsidRPr="00667D85" w:rsidTr="007A6F33">
        <w:trPr>
          <w:trHeight w:val="300"/>
        </w:trPr>
        <w:tc>
          <w:tcPr>
            <w:tcW w:w="8897" w:type="dxa"/>
            <w:noWrap/>
            <w:hideMark/>
          </w:tcPr>
          <w:p w:rsidR="00C07365" w:rsidRPr="00667D85" w:rsidRDefault="00C07365" w:rsidP="007A6F33">
            <w:r w:rsidRPr="00667D85">
              <w:t>HAI 2011, ECHO Informal Interim Report July–October 2011</w:t>
            </w:r>
          </w:p>
        </w:tc>
      </w:tr>
      <w:tr w:rsidR="00C07365" w:rsidRPr="00667D85" w:rsidTr="007A6F33">
        <w:trPr>
          <w:trHeight w:val="300"/>
        </w:trPr>
        <w:tc>
          <w:tcPr>
            <w:tcW w:w="8897" w:type="dxa"/>
            <w:noWrap/>
            <w:hideMark/>
          </w:tcPr>
          <w:p w:rsidR="00C07365" w:rsidRPr="00667D85" w:rsidRDefault="000529FD" w:rsidP="007A6F33">
            <w:r>
              <w:t>HAI 2012, ECHO Informal R</w:t>
            </w:r>
            <w:r w:rsidR="00C07365" w:rsidRPr="00667D85">
              <w:t>eport</w:t>
            </w:r>
            <w:r>
              <w:t>,</w:t>
            </w:r>
            <w:r w:rsidR="00C07365" w:rsidRPr="00667D85">
              <w:t xml:space="preserve"> November to January 2012</w:t>
            </w:r>
          </w:p>
        </w:tc>
      </w:tr>
      <w:tr w:rsidR="00C07365" w:rsidRPr="00667D85" w:rsidTr="007A6F33">
        <w:trPr>
          <w:trHeight w:val="300"/>
        </w:trPr>
        <w:tc>
          <w:tcPr>
            <w:tcW w:w="8897" w:type="dxa"/>
            <w:noWrap/>
            <w:hideMark/>
          </w:tcPr>
          <w:p w:rsidR="00C07365" w:rsidRPr="00667D85" w:rsidRDefault="000529FD" w:rsidP="007A6F33">
            <w:r>
              <w:t>HAI 2012, ECHO Informal R</w:t>
            </w:r>
            <w:r w:rsidR="00C07365" w:rsidRPr="00667D85">
              <w:t>eport</w:t>
            </w:r>
            <w:r>
              <w:t>,</w:t>
            </w:r>
            <w:r w:rsidR="00C07365" w:rsidRPr="00667D85">
              <w:t xml:space="preserve"> March to June 2012</w:t>
            </w:r>
          </w:p>
        </w:tc>
      </w:tr>
      <w:tr w:rsidR="00C07365" w:rsidRPr="00667D85" w:rsidTr="007A6F33">
        <w:trPr>
          <w:trHeight w:val="300"/>
        </w:trPr>
        <w:tc>
          <w:tcPr>
            <w:tcW w:w="8897" w:type="dxa"/>
            <w:noWrap/>
            <w:hideMark/>
          </w:tcPr>
          <w:p w:rsidR="00C07365" w:rsidRPr="00667D85" w:rsidRDefault="00C07365" w:rsidP="00DD6B92">
            <w:r w:rsidRPr="00667D85">
              <w:t>HAI, Letter to Ian Clark, Head of Unit (ECHO)</w:t>
            </w:r>
            <w:r w:rsidR="00DD6B92">
              <w:t xml:space="preserve">, </w:t>
            </w:r>
            <w:r w:rsidRPr="00667D85">
              <w:t xml:space="preserve">from Beverley </w:t>
            </w:r>
            <w:proofErr w:type="spellStart"/>
            <w:r w:rsidRPr="00667D85">
              <w:t>Storer</w:t>
            </w:r>
            <w:proofErr w:type="spellEnd"/>
            <w:r w:rsidRPr="00667D85">
              <w:t xml:space="preserve">, Programme Funding Officer </w:t>
            </w:r>
            <w:r w:rsidR="00DD6B92">
              <w:t>- Emergencies HAI, 8 June 2012</w:t>
            </w:r>
          </w:p>
        </w:tc>
      </w:tr>
      <w:tr w:rsidR="001D48A4" w:rsidRPr="00667D85" w:rsidTr="0017152B">
        <w:trPr>
          <w:trHeight w:val="300"/>
        </w:trPr>
        <w:tc>
          <w:tcPr>
            <w:tcW w:w="8897" w:type="dxa"/>
            <w:noWrap/>
            <w:hideMark/>
          </w:tcPr>
          <w:p w:rsidR="001D48A4" w:rsidRPr="00667D85" w:rsidRDefault="001D48A4" w:rsidP="0017152B">
            <w:r>
              <w:t>HAI, Our Theory of C</w:t>
            </w:r>
            <w:r w:rsidRPr="00667D85">
              <w:t>hange</w:t>
            </w:r>
          </w:p>
        </w:tc>
      </w:tr>
      <w:tr w:rsidR="001D48A4" w:rsidRPr="00667D85" w:rsidTr="0017152B">
        <w:trPr>
          <w:trHeight w:val="300"/>
        </w:trPr>
        <w:tc>
          <w:tcPr>
            <w:tcW w:w="8897" w:type="dxa"/>
            <w:noWrap/>
            <w:hideMark/>
          </w:tcPr>
          <w:p w:rsidR="001D48A4" w:rsidRPr="00667D85" w:rsidRDefault="001D48A4" w:rsidP="0017152B">
            <w:r>
              <w:t>HAI/</w:t>
            </w:r>
            <w:r w:rsidRPr="00667D85">
              <w:t>WWE Strategic Plan 2010-2015</w:t>
            </w:r>
            <w:r>
              <w:t xml:space="preserve">, </w:t>
            </w:r>
            <w:r w:rsidRPr="00667D85">
              <w:t>July 2010</w:t>
            </w:r>
          </w:p>
        </w:tc>
      </w:tr>
      <w:tr w:rsidR="00C07365" w:rsidRPr="00667D85" w:rsidTr="007A6F33">
        <w:trPr>
          <w:trHeight w:val="300"/>
        </w:trPr>
        <w:tc>
          <w:tcPr>
            <w:tcW w:w="8897" w:type="dxa"/>
            <w:noWrap/>
            <w:hideMark/>
          </w:tcPr>
          <w:p w:rsidR="00C07365" w:rsidRPr="00667D85" w:rsidRDefault="00C07365" w:rsidP="007A6F33">
            <w:r w:rsidRPr="00667D85">
              <w:t xml:space="preserve">HAI, </w:t>
            </w:r>
            <w:r w:rsidR="00DD6B92">
              <w:t>Review Of Annual Plans o</w:t>
            </w:r>
            <w:r w:rsidR="00DD6B92" w:rsidRPr="00667D85">
              <w:t xml:space="preserve">n Emergencies, </w:t>
            </w:r>
            <w:r w:rsidRPr="00667D85">
              <w:t>2013-14</w:t>
            </w:r>
          </w:p>
        </w:tc>
      </w:tr>
      <w:tr w:rsidR="00C07365" w:rsidRPr="00667D85" w:rsidTr="007A6F33">
        <w:trPr>
          <w:trHeight w:val="300"/>
        </w:trPr>
        <w:tc>
          <w:tcPr>
            <w:tcW w:w="8897" w:type="dxa"/>
            <w:noWrap/>
            <w:hideMark/>
          </w:tcPr>
          <w:p w:rsidR="00C07365" w:rsidRPr="00667D85" w:rsidRDefault="00C07365" w:rsidP="007A6F33">
            <w:r w:rsidRPr="00667D85">
              <w:t>HAI (2012), Older people in emergencies – identifying and reducing risks (HAI, May 20212)</w:t>
            </w:r>
          </w:p>
        </w:tc>
      </w:tr>
      <w:tr w:rsidR="00C07365" w:rsidRPr="00667D85" w:rsidTr="007A6F33">
        <w:trPr>
          <w:trHeight w:val="300"/>
        </w:trPr>
        <w:tc>
          <w:tcPr>
            <w:tcW w:w="8897" w:type="dxa"/>
            <w:noWrap/>
            <w:hideMark/>
          </w:tcPr>
          <w:p w:rsidR="00C07365" w:rsidRPr="00667D85" w:rsidRDefault="00C07365" w:rsidP="007A6F33">
            <w:r w:rsidRPr="00667D85">
              <w:t xml:space="preserve">HAI/HOPE Training; Age responsive project </w:t>
            </w:r>
            <w:proofErr w:type="spellStart"/>
            <w:r w:rsidRPr="00667D85">
              <w:t>cycle_edited</w:t>
            </w:r>
            <w:proofErr w:type="spellEnd"/>
          </w:p>
        </w:tc>
      </w:tr>
      <w:tr w:rsidR="00C07365" w:rsidRPr="00667D85" w:rsidTr="007A6F33">
        <w:trPr>
          <w:trHeight w:val="300"/>
        </w:trPr>
        <w:tc>
          <w:tcPr>
            <w:tcW w:w="8897" w:type="dxa"/>
            <w:noWrap/>
            <w:hideMark/>
          </w:tcPr>
          <w:p w:rsidR="00C07365" w:rsidRPr="00667D85" w:rsidRDefault="00C07365" w:rsidP="007A6F33">
            <w:r w:rsidRPr="00667D85">
              <w:t>HAI/HOPE Training; Personal Action Plan</w:t>
            </w:r>
          </w:p>
        </w:tc>
      </w:tr>
      <w:tr w:rsidR="00C07365" w:rsidRPr="00667D85" w:rsidTr="007A6F33">
        <w:trPr>
          <w:trHeight w:val="300"/>
        </w:trPr>
        <w:tc>
          <w:tcPr>
            <w:tcW w:w="8897" w:type="dxa"/>
            <w:noWrap/>
            <w:hideMark/>
          </w:tcPr>
          <w:p w:rsidR="00C07365" w:rsidRPr="00667D85" w:rsidRDefault="00C07365" w:rsidP="007A6F33">
            <w:r w:rsidRPr="00667D85">
              <w:t xml:space="preserve">HAI (2012), Helping Older people in Emergencies (HOPE): </w:t>
            </w:r>
            <w:proofErr w:type="spellStart"/>
            <w:r w:rsidRPr="00667D85">
              <w:t>HelpAge</w:t>
            </w:r>
            <w:proofErr w:type="spellEnd"/>
            <w:r w:rsidRPr="00667D85">
              <w:t xml:space="preserve"> International training programme (Nov 2012)</w:t>
            </w:r>
          </w:p>
        </w:tc>
      </w:tr>
      <w:tr w:rsidR="00C07365" w:rsidRPr="00667D85" w:rsidTr="007A6F33">
        <w:trPr>
          <w:trHeight w:val="300"/>
        </w:trPr>
        <w:tc>
          <w:tcPr>
            <w:tcW w:w="8897" w:type="dxa"/>
            <w:noWrap/>
            <w:hideMark/>
          </w:tcPr>
          <w:p w:rsidR="00C07365" w:rsidRPr="00667D85" w:rsidRDefault="00C07365" w:rsidP="007A6F33">
            <w:r w:rsidRPr="00667D85">
              <w:t>HAI/HOPE Training; HOPE Nairobi, HAI Training Programme Report (19 June, 2012)</w:t>
            </w:r>
          </w:p>
        </w:tc>
      </w:tr>
      <w:tr w:rsidR="00C07365" w:rsidRPr="00667D85" w:rsidTr="007A6F33">
        <w:trPr>
          <w:trHeight w:val="300"/>
        </w:trPr>
        <w:tc>
          <w:tcPr>
            <w:tcW w:w="8897" w:type="dxa"/>
            <w:noWrap/>
            <w:hideMark/>
          </w:tcPr>
          <w:p w:rsidR="00C07365" w:rsidRPr="00667D85" w:rsidRDefault="00C07365" w:rsidP="007A6F33">
            <w:r w:rsidRPr="00667D85">
              <w:t xml:space="preserve">HAI (2012), Ensuring inclusion of older people in initial emergency needs assessments, (HAI 2012); Written by Boris </w:t>
            </w:r>
            <w:proofErr w:type="spellStart"/>
            <w:r w:rsidRPr="00667D85">
              <w:t>Aristín</w:t>
            </w:r>
            <w:proofErr w:type="spellEnd"/>
            <w:r w:rsidRPr="00667D85">
              <w:t xml:space="preserve"> González</w:t>
            </w:r>
          </w:p>
        </w:tc>
      </w:tr>
      <w:tr w:rsidR="00B13451" w:rsidRPr="00667D85" w:rsidTr="007A6F33">
        <w:trPr>
          <w:trHeight w:val="300"/>
        </w:trPr>
        <w:tc>
          <w:tcPr>
            <w:tcW w:w="8897" w:type="dxa"/>
            <w:noWrap/>
            <w:hideMark/>
          </w:tcPr>
          <w:p w:rsidR="00B13451" w:rsidRDefault="00B13451" w:rsidP="00B13451">
            <w:r>
              <w:rPr>
                <w:bCs/>
              </w:rPr>
              <w:t xml:space="preserve">HAI and HI (2012), </w:t>
            </w:r>
            <w:r w:rsidRPr="00B13451">
              <w:rPr>
                <w:bCs/>
              </w:rPr>
              <w:t>A study of humanitarian financing for older people and people with disabilities, 2010–2011</w:t>
            </w:r>
            <w:r>
              <w:rPr>
                <w:bCs/>
              </w:rPr>
              <w:t>, (</w:t>
            </w:r>
            <w:r w:rsidRPr="00B13451">
              <w:t xml:space="preserve">Published by </w:t>
            </w:r>
            <w:proofErr w:type="spellStart"/>
            <w:r w:rsidRPr="00B13451">
              <w:t>HelpAge</w:t>
            </w:r>
            <w:proofErr w:type="spellEnd"/>
            <w:r w:rsidRPr="00B13451">
              <w:t xml:space="preserve"> International, London and Handicap International, Lyon</w:t>
            </w:r>
            <w:r>
              <w:t>, February 2012)</w:t>
            </w:r>
          </w:p>
        </w:tc>
      </w:tr>
      <w:tr w:rsidR="007D6080" w:rsidRPr="00667D85" w:rsidTr="007A6F33">
        <w:trPr>
          <w:trHeight w:val="300"/>
        </w:trPr>
        <w:tc>
          <w:tcPr>
            <w:tcW w:w="8897" w:type="dxa"/>
            <w:noWrap/>
            <w:hideMark/>
          </w:tcPr>
          <w:p w:rsidR="007D6080" w:rsidRPr="00667D85" w:rsidRDefault="007D6080" w:rsidP="002A16EE">
            <w:r>
              <w:t>HAI and IDMC, The Neglected Generation: The Impact of Displacement on Older People, (</w:t>
            </w:r>
            <w:r w:rsidRPr="007D6080">
              <w:t xml:space="preserve">Jointly published by </w:t>
            </w:r>
            <w:proofErr w:type="spellStart"/>
            <w:r w:rsidRPr="007D6080">
              <w:t>HelpAge</w:t>
            </w:r>
            <w:proofErr w:type="spellEnd"/>
            <w:r w:rsidRPr="007D6080">
              <w:t xml:space="preserve"> International</w:t>
            </w:r>
            <w:r>
              <w:t xml:space="preserve"> </w:t>
            </w:r>
            <w:r w:rsidRPr="007D6080">
              <w:t>and the Internal Displacement Monitoring Centre</w:t>
            </w:r>
            <w:r>
              <w:t>, 2012)</w:t>
            </w:r>
          </w:p>
        </w:tc>
      </w:tr>
      <w:tr w:rsidR="001E0B56" w:rsidRPr="00667D85" w:rsidTr="0096598F">
        <w:trPr>
          <w:trHeight w:val="300"/>
        </w:trPr>
        <w:tc>
          <w:tcPr>
            <w:tcW w:w="8897" w:type="dxa"/>
            <w:noWrap/>
            <w:hideMark/>
          </w:tcPr>
          <w:p w:rsidR="001E0B56" w:rsidRPr="00667D85" w:rsidRDefault="001E0B56" w:rsidP="0096598F">
            <w:r>
              <w:t xml:space="preserve">Humanitarian Emergency Response Review, (Published by the Humanitarian Emergency </w:t>
            </w:r>
            <w:r>
              <w:lastRenderedPageBreak/>
              <w:t>Response Review March 2011)</w:t>
            </w:r>
          </w:p>
        </w:tc>
      </w:tr>
      <w:tr w:rsidR="00C73566" w:rsidRPr="00667D85" w:rsidTr="007A6F33">
        <w:trPr>
          <w:trHeight w:val="300"/>
        </w:trPr>
        <w:tc>
          <w:tcPr>
            <w:tcW w:w="8897" w:type="dxa"/>
            <w:noWrap/>
            <w:hideMark/>
          </w:tcPr>
          <w:p w:rsidR="00C73566" w:rsidRPr="00667D85" w:rsidRDefault="00C73566" w:rsidP="007A6F33">
            <w:r w:rsidRPr="00667D85">
              <w:lastRenderedPageBreak/>
              <w:t xml:space="preserve">IASC, </w:t>
            </w:r>
            <w:r w:rsidRPr="00667D85">
              <w:rPr>
                <w:bCs/>
              </w:rPr>
              <w:t>Humanitarian Action and Older Persons: An essential br</w:t>
            </w:r>
            <w:r w:rsidR="007A6F33">
              <w:rPr>
                <w:bCs/>
              </w:rPr>
              <w:t>ief for humanitarian actors; (</w:t>
            </w:r>
            <w:r w:rsidRPr="00667D85">
              <w:rPr>
                <w:bCs/>
              </w:rPr>
              <w:t>Inter-</w:t>
            </w:r>
            <w:r w:rsidR="007A6F33">
              <w:rPr>
                <w:bCs/>
              </w:rPr>
              <w:t>Agency Standing Committee,</w:t>
            </w:r>
            <w:r w:rsidRPr="00667D85">
              <w:rPr>
                <w:bCs/>
              </w:rPr>
              <w:t xml:space="preserve"> 2008)</w:t>
            </w:r>
          </w:p>
        </w:tc>
      </w:tr>
      <w:tr w:rsidR="00C73566" w:rsidRPr="00667D85" w:rsidTr="007A6F33">
        <w:trPr>
          <w:trHeight w:val="300"/>
        </w:trPr>
        <w:tc>
          <w:tcPr>
            <w:tcW w:w="8897" w:type="dxa"/>
            <w:noWrap/>
            <w:hideMark/>
          </w:tcPr>
          <w:p w:rsidR="00C73566" w:rsidRPr="00667D85" w:rsidRDefault="00C73566" w:rsidP="007A6F33">
            <w:r w:rsidRPr="00667D85">
              <w:t>IASC, Multi-Cluster/Sector Initial Rapid Assessment (MIRA); (Inter-Agency Standing Committee 2012)</w:t>
            </w:r>
          </w:p>
        </w:tc>
      </w:tr>
      <w:tr w:rsidR="00C73566" w:rsidRPr="00667D85" w:rsidTr="007A6F33">
        <w:trPr>
          <w:trHeight w:val="300"/>
        </w:trPr>
        <w:tc>
          <w:tcPr>
            <w:tcW w:w="8897" w:type="dxa"/>
            <w:noWrap/>
            <w:hideMark/>
          </w:tcPr>
          <w:p w:rsidR="00C73566" w:rsidRPr="00667D85" w:rsidRDefault="002916E5" w:rsidP="001523AF">
            <w:r>
              <w:t>IASC,</w:t>
            </w:r>
            <w:r w:rsidR="001523AF" w:rsidRPr="00667D85">
              <w:t xml:space="preserve"> 78th </w:t>
            </w:r>
            <w:r w:rsidR="001523AF">
              <w:t>IASC</w:t>
            </w:r>
            <w:r w:rsidR="001523AF" w:rsidRPr="00667D85">
              <w:t xml:space="preserve"> Working Group Meeting,</w:t>
            </w:r>
            <w:r w:rsidR="00C73566" w:rsidRPr="00667D85">
              <w:t xml:space="preserve"> Older Persons and Humanitarian Action; Prepared by: </w:t>
            </w:r>
            <w:proofErr w:type="spellStart"/>
            <w:r w:rsidR="00C73566" w:rsidRPr="00667D85">
              <w:t>HelpAge</w:t>
            </w:r>
            <w:proofErr w:type="spellEnd"/>
            <w:r w:rsidR="00C73566" w:rsidRPr="00667D85">
              <w:t xml:space="preserve"> in cooperation with WHO, October 2010</w:t>
            </w:r>
          </w:p>
        </w:tc>
      </w:tr>
      <w:tr w:rsidR="00C73566" w:rsidRPr="00667D85" w:rsidTr="007A6F33">
        <w:trPr>
          <w:trHeight w:val="300"/>
        </w:trPr>
        <w:tc>
          <w:tcPr>
            <w:tcW w:w="8897" w:type="dxa"/>
            <w:noWrap/>
            <w:hideMark/>
          </w:tcPr>
          <w:p w:rsidR="00C73566" w:rsidRPr="00667D85" w:rsidRDefault="001523AF" w:rsidP="002916E5">
            <w:r w:rsidRPr="00667D85">
              <w:t>I</w:t>
            </w:r>
            <w:r w:rsidR="002916E5">
              <w:t>ASC,</w:t>
            </w:r>
            <w:r>
              <w:t xml:space="preserve"> 78th IASC</w:t>
            </w:r>
            <w:r w:rsidRPr="00667D85">
              <w:t xml:space="preserve"> Working Group Meeting</w:t>
            </w:r>
            <w:r w:rsidR="002916E5">
              <w:t xml:space="preserve">, </w:t>
            </w:r>
            <w:r w:rsidR="00C73566" w:rsidRPr="00667D85">
              <w:t>Final Action Points and Conclusions (10-12 November 2010)</w:t>
            </w:r>
          </w:p>
        </w:tc>
      </w:tr>
      <w:tr w:rsidR="00C73566" w:rsidRPr="00667D85" w:rsidTr="007A6F33">
        <w:trPr>
          <w:trHeight w:val="300"/>
        </w:trPr>
        <w:tc>
          <w:tcPr>
            <w:tcW w:w="8897" w:type="dxa"/>
            <w:noWrap/>
            <w:hideMark/>
          </w:tcPr>
          <w:p w:rsidR="00C73566" w:rsidRPr="00667D85" w:rsidRDefault="00C73566" w:rsidP="007A6F33">
            <w:r w:rsidRPr="00667D85">
              <w:t xml:space="preserve">IASC (OMS/HAI) document de </w:t>
            </w:r>
            <w:proofErr w:type="spellStart"/>
            <w:r w:rsidRPr="00667D85">
              <w:t>plaidoyer</w:t>
            </w:r>
            <w:proofErr w:type="spellEnd"/>
            <w:r w:rsidRPr="00667D85">
              <w:t xml:space="preserve">, Action </w:t>
            </w:r>
            <w:proofErr w:type="spellStart"/>
            <w:r w:rsidRPr="00667D85">
              <w:t>humanitaire</w:t>
            </w:r>
            <w:proofErr w:type="spellEnd"/>
            <w:r w:rsidRPr="00667D85">
              <w:t xml:space="preserve"> et </w:t>
            </w:r>
            <w:proofErr w:type="spellStart"/>
            <w:r w:rsidRPr="00667D85">
              <w:t>personnes</w:t>
            </w:r>
            <w:proofErr w:type="spellEnd"/>
            <w:r w:rsidRPr="00667D85">
              <w:t xml:space="preserve"> </w:t>
            </w:r>
            <w:proofErr w:type="spellStart"/>
            <w:r w:rsidRPr="00667D85">
              <w:t>âgées</w:t>
            </w:r>
            <w:proofErr w:type="spellEnd"/>
            <w:r w:rsidRPr="00667D85">
              <w:t xml:space="preserve">: </w:t>
            </w:r>
            <w:proofErr w:type="spellStart"/>
            <w:r w:rsidRPr="00667D85">
              <w:t>Informations</w:t>
            </w:r>
            <w:proofErr w:type="spellEnd"/>
            <w:r w:rsidRPr="00667D85">
              <w:t xml:space="preserve"> indispensables à </w:t>
            </w:r>
            <w:proofErr w:type="spellStart"/>
            <w:r w:rsidRPr="00667D85">
              <w:t>l’attention</w:t>
            </w:r>
            <w:proofErr w:type="spellEnd"/>
            <w:r w:rsidRPr="00667D85">
              <w:t xml:space="preserve"> des </w:t>
            </w:r>
            <w:proofErr w:type="spellStart"/>
            <w:r w:rsidRPr="00667D85">
              <w:t>acteurs</w:t>
            </w:r>
            <w:proofErr w:type="spellEnd"/>
            <w:r w:rsidRPr="00667D85">
              <w:t xml:space="preserve"> </w:t>
            </w:r>
            <w:proofErr w:type="spellStart"/>
            <w:r w:rsidRPr="00667D85">
              <w:t>humanitaires</w:t>
            </w:r>
            <w:proofErr w:type="spellEnd"/>
            <w:r w:rsidRPr="00667D85">
              <w:t xml:space="preserve"> (</w:t>
            </w:r>
            <w:proofErr w:type="spellStart"/>
            <w:r w:rsidRPr="00667D85">
              <w:t>Dernière</w:t>
            </w:r>
            <w:proofErr w:type="spellEnd"/>
            <w:r w:rsidRPr="00667D85">
              <w:t xml:space="preserve"> version </w:t>
            </w:r>
            <w:proofErr w:type="spellStart"/>
            <w:r w:rsidRPr="00667D85">
              <w:t>éditée</w:t>
            </w:r>
            <w:proofErr w:type="spellEnd"/>
            <w:r w:rsidRPr="00667D85">
              <w:t xml:space="preserve">, 28 </w:t>
            </w:r>
            <w:proofErr w:type="spellStart"/>
            <w:r w:rsidRPr="00667D85">
              <w:t>juillet</w:t>
            </w:r>
            <w:proofErr w:type="spellEnd"/>
            <w:r w:rsidRPr="00667D85">
              <w:t xml:space="preserve"> 2008)</w:t>
            </w:r>
          </w:p>
        </w:tc>
      </w:tr>
      <w:tr w:rsidR="004D5E1D" w:rsidRPr="00667D85" w:rsidTr="00107693">
        <w:trPr>
          <w:trHeight w:val="300"/>
        </w:trPr>
        <w:tc>
          <w:tcPr>
            <w:tcW w:w="8897" w:type="dxa"/>
            <w:noWrap/>
            <w:hideMark/>
          </w:tcPr>
          <w:p w:rsidR="004D5E1D" w:rsidRPr="00667D85" w:rsidRDefault="004D5E1D" w:rsidP="004D5E1D">
            <w:proofErr w:type="spellStart"/>
            <w:r w:rsidRPr="00667D85">
              <w:t>Mazurana</w:t>
            </w:r>
            <w:proofErr w:type="spellEnd"/>
            <w:r w:rsidRPr="00667D85">
              <w:t xml:space="preserve">, D; </w:t>
            </w:r>
            <w:proofErr w:type="spellStart"/>
            <w:r w:rsidRPr="00667D85">
              <w:t>Benell</w:t>
            </w:r>
            <w:r w:rsidR="00A56F23">
              <w:t>i</w:t>
            </w:r>
            <w:proofErr w:type="spellEnd"/>
            <w:r w:rsidR="00A56F23">
              <w:t xml:space="preserve">, P; Gupta, H; and Walker, P; </w:t>
            </w:r>
            <w:r w:rsidRPr="00667D85">
              <w:t>Sex and Age Matter: Improving Humani</w:t>
            </w:r>
            <w:r w:rsidR="00A56F23">
              <w:t>tarian Response in Emergencies.</w:t>
            </w:r>
            <w:r w:rsidRPr="00667D85">
              <w:t xml:space="preserve"> (Feinstein International </w:t>
            </w:r>
            <w:proofErr w:type="spellStart"/>
            <w:r w:rsidRPr="00667D85">
              <w:t>Center</w:t>
            </w:r>
            <w:proofErr w:type="spellEnd"/>
            <w:r w:rsidRPr="00667D85">
              <w:t>, Tufts University, August 2011)</w:t>
            </w:r>
          </w:p>
        </w:tc>
      </w:tr>
    </w:tbl>
    <w:p w:rsidR="003C7A68" w:rsidRPr="00D13862" w:rsidRDefault="003C7A68" w:rsidP="003C7A68">
      <w:pPr>
        <w:pStyle w:val="Heading1"/>
        <w:rPr>
          <w:color w:val="auto"/>
        </w:rPr>
      </w:pPr>
      <w:bookmarkStart w:id="12" w:name="_Toc352225694"/>
      <w:bookmarkStart w:id="13" w:name="_Toc352225939"/>
      <w:r>
        <w:rPr>
          <w:color w:val="auto"/>
        </w:rPr>
        <w:t>Annex 3: Evaluation Questions</w:t>
      </w:r>
      <w:bookmarkEnd w:id="12"/>
      <w:bookmarkEnd w:id="13"/>
    </w:p>
    <w:p w:rsidR="00D13862" w:rsidRDefault="00D13862" w:rsidP="00D13862">
      <w:pPr>
        <w:pStyle w:val="NoSpacing"/>
      </w:pPr>
      <w:r w:rsidRPr="00D13862">
        <w:t xml:space="preserve">The evaluator </w:t>
      </w:r>
      <w:r w:rsidR="00760F28">
        <w:t xml:space="preserve">was guided by the </w:t>
      </w:r>
      <w:r w:rsidRPr="00D13862">
        <w:t>following questions</w:t>
      </w:r>
      <w:r w:rsidR="00585531">
        <w:t xml:space="preserve">, </w:t>
      </w:r>
      <w:r w:rsidRPr="00D13862">
        <w:t xml:space="preserve">in line with the purpose of the evaluation and established evaluation criteria. </w:t>
      </w:r>
    </w:p>
    <w:p w:rsidR="007334AD" w:rsidRPr="00D13862" w:rsidRDefault="007334AD" w:rsidP="00D13862">
      <w:pPr>
        <w:pStyle w:val="NoSpacing"/>
      </w:pPr>
    </w:p>
    <w:p w:rsidR="00D13862" w:rsidRPr="00D13862" w:rsidRDefault="00D13862" w:rsidP="00D13862">
      <w:pPr>
        <w:pStyle w:val="NoSpacing"/>
      </w:pPr>
      <w:r w:rsidRPr="00D13862">
        <w:t>Q1. Theory of Change</w:t>
      </w:r>
    </w:p>
    <w:p w:rsidR="00D13862" w:rsidRPr="00D13862" w:rsidRDefault="00D13862" w:rsidP="00493997">
      <w:pPr>
        <w:pStyle w:val="NoSpacing"/>
        <w:numPr>
          <w:ilvl w:val="0"/>
          <w:numId w:val="9"/>
        </w:numPr>
      </w:pPr>
      <w:r w:rsidRPr="00D13862">
        <w:t>Goals: What are the ultimate goals of this Project? (AL)</w:t>
      </w:r>
      <w:r w:rsidRPr="00D13862">
        <w:tab/>
      </w:r>
      <w:r w:rsidRPr="00D13862">
        <w:tab/>
      </w:r>
      <w:r w:rsidRPr="00D13862">
        <w:tab/>
      </w:r>
    </w:p>
    <w:p w:rsidR="00D13862" w:rsidRPr="00D13862" w:rsidRDefault="00D13862" w:rsidP="00493997">
      <w:pPr>
        <w:pStyle w:val="NoSpacing"/>
        <w:numPr>
          <w:ilvl w:val="0"/>
          <w:numId w:val="9"/>
        </w:numPr>
      </w:pPr>
      <w:r w:rsidRPr="00D13862">
        <w:t>Outcomes: What are its expected outcomes along the path to the intended goal? (AL)</w:t>
      </w:r>
      <w:r w:rsidRPr="00D13862">
        <w:tab/>
      </w:r>
    </w:p>
    <w:p w:rsidR="00D13862" w:rsidRPr="00D13862" w:rsidRDefault="00D13862" w:rsidP="00493997">
      <w:pPr>
        <w:pStyle w:val="NoSpacing"/>
        <w:numPr>
          <w:ilvl w:val="0"/>
          <w:numId w:val="9"/>
        </w:numPr>
      </w:pPr>
      <w:r w:rsidRPr="00D13862">
        <w:t>Agreement: Is there alignment and agreement among partners on this course? (AL)</w:t>
      </w:r>
    </w:p>
    <w:p w:rsidR="00D13862" w:rsidRPr="00D13862" w:rsidRDefault="00D13862" w:rsidP="00D13862">
      <w:pPr>
        <w:pStyle w:val="NoSpacing"/>
      </w:pPr>
    </w:p>
    <w:p w:rsidR="00D13862" w:rsidRPr="00D13862" w:rsidRDefault="00D13862" w:rsidP="00D13862">
      <w:pPr>
        <w:pStyle w:val="NoSpacing"/>
      </w:pPr>
      <w:r w:rsidRPr="00D13862">
        <w:t>Q2 Relevance</w:t>
      </w:r>
      <w:r w:rsidRPr="00D13862">
        <w:tab/>
      </w:r>
    </w:p>
    <w:p w:rsidR="00D13862" w:rsidRPr="00D13862" w:rsidRDefault="00D13862" w:rsidP="00D13862">
      <w:pPr>
        <w:pStyle w:val="NoSpacing"/>
        <w:numPr>
          <w:ilvl w:val="0"/>
          <w:numId w:val="4"/>
        </w:numPr>
      </w:pPr>
      <w:r w:rsidRPr="00D13862">
        <w:t>Consistency: To what extent is activity consistent with the Project’s overall goals/intended impacts? (AL)</w:t>
      </w:r>
    </w:p>
    <w:p w:rsidR="00D13862" w:rsidRPr="00D13862" w:rsidRDefault="00D13862" w:rsidP="00D13862">
      <w:pPr>
        <w:pStyle w:val="NoSpacing"/>
        <w:numPr>
          <w:ilvl w:val="0"/>
          <w:numId w:val="4"/>
        </w:numPr>
      </w:pPr>
      <w:r w:rsidRPr="00D13862">
        <w:t>Validity: To what extent are the objectives of the Project still valid? (AL)</w:t>
      </w:r>
    </w:p>
    <w:p w:rsidR="00D13862" w:rsidRPr="00D13862" w:rsidRDefault="00D13862" w:rsidP="00D13862">
      <w:pPr>
        <w:pStyle w:val="NoSpacing"/>
        <w:numPr>
          <w:ilvl w:val="0"/>
          <w:numId w:val="4"/>
        </w:numPr>
      </w:pPr>
      <w:r w:rsidRPr="00D13862">
        <w:t xml:space="preserve">Target: To what extent </w:t>
      </w:r>
      <w:proofErr w:type="gramStart"/>
      <w:r w:rsidRPr="00D13862">
        <w:t>is</w:t>
      </w:r>
      <w:proofErr w:type="gramEnd"/>
      <w:r w:rsidRPr="00D13862">
        <w:t xml:space="preserve"> the Project and its implementation appropriate for the target group? (AL)</w:t>
      </w:r>
    </w:p>
    <w:p w:rsidR="00D13862" w:rsidRPr="00D13862" w:rsidRDefault="00D13862" w:rsidP="00D13862">
      <w:pPr>
        <w:pStyle w:val="NoSpacing"/>
        <w:numPr>
          <w:ilvl w:val="0"/>
          <w:numId w:val="4"/>
        </w:numPr>
      </w:pPr>
      <w:r w:rsidRPr="00D13862">
        <w:t>ECHO: To what extent is Project suited to ECHO's priorities and policies? (AL)</w:t>
      </w:r>
    </w:p>
    <w:p w:rsidR="00D13862" w:rsidRPr="00D13862" w:rsidRDefault="00D13862" w:rsidP="00D13862">
      <w:pPr>
        <w:pStyle w:val="NoSpacing"/>
      </w:pPr>
    </w:p>
    <w:p w:rsidR="00D13862" w:rsidRPr="00D13862" w:rsidRDefault="00D13862" w:rsidP="00D13862">
      <w:pPr>
        <w:pStyle w:val="NoSpacing"/>
      </w:pPr>
      <w:r w:rsidRPr="00D13862">
        <w:t>Q3 Effectiveness</w:t>
      </w:r>
      <w:r w:rsidRPr="00D13862">
        <w:tab/>
      </w:r>
    </w:p>
    <w:p w:rsidR="00D13862" w:rsidRPr="00D13862" w:rsidRDefault="00D13862" w:rsidP="00493997">
      <w:pPr>
        <w:pStyle w:val="NoSpacing"/>
        <w:numPr>
          <w:ilvl w:val="0"/>
          <w:numId w:val="10"/>
        </w:numPr>
      </w:pPr>
      <w:r w:rsidRPr="00D13862">
        <w:t>Achievement: To what extent were the objectives achieved, or likely to be achieved? (AL)</w:t>
      </w:r>
      <w:r w:rsidRPr="00D13862">
        <w:tab/>
      </w:r>
    </w:p>
    <w:p w:rsidR="00D13862" w:rsidRPr="00D13862" w:rsidRDefault="00D13862" w:rsidP="00493997">
      <w:pPr>
        <w:pStyle w:val="NoSpacing"/>
        <w:numPr>
          <w:ilvl w:val="0"/>
          <w:numId w:val="10"/>
        </w:numPr>
      </w:pPr>
      <w:r w:rsidRPr="00D13862">
        <w:t>Factors: What are the major factors influencing the achievement or non-achievement of the objectives? (AL)</w:t>
      </w:r>
    </w:p>
    <w:p w:rsidR="00D13862" w:rsidRPr="00D13862" w:rsidRDefault="00D13862" w:rsidP="00D13862">
      <w:pPr>
        <w:pStyle w:val="NoSpacing"/>
      </w:pPr>
    </w:p>
    <w:p w:rsidR="00D13862" w:rsidRPr="00D13862" w:rsidRDefault="00D13862" w:rsidP="00D13862">
      <w:pPr>
        <w:pStyle w:val="NoSpacing"/>
      </w:pPr>
      <w:r w:rsidRPr="00D13862">
        <w:t>Q3a Capacity building</w:t>
      </w:r>
    </w:p>
    <w:p w:rsidR="00D13862" w:rsidRPr="00D13862" w:rsidRDefault="00D13862" w:rsidP="00493997">
      <w:pPr>
        <w:pStyle w:val="NoSpacing"/>
        <w:numPr>
          <w:ilvl w:val="0"/>
          <w:numId w:val="11"/>
        </w:numPr>
      </w:pPr>
      <w:r w:rsidRPr="00D13862">
        <w:t xml:space="preserve">Improved Understanding: To what extent has the training activity initiated and implemented by </w:t>
      </w:r>
      <w:proofErr w:type="spellStart"/>
      <w:r w:rsidRPr="00D13862">
        <w:t>HelpAge</w:t>
      </w:r>
      <w:proofErr w:type="spellEnd"/>
      <w:r w:rsidRPr="00D13862">
        <w:t xml:space="preserve"> enhanced participants’ understanding of the needs of older people (and other vulnerable groups) in emergencies? (HAI)</w:t>
      </w:r>
    </w:p>
    <w:p w:rsidR="00D13862" w:rsidRPr="00D13862" w:rsidRDefault="00D13862" w:rsidP="00D13862">
      <w:pPr>
        <w:pStyle w:val="NoSpacing"/>
      </w:pPr>
    </w:p>
    <w:p w:rsidR="00D13862" w:rsidRPr="00D13862" w:rsidRDefault="00D13862" w:rsidP="00D13862">
      <w:pPr>
        <w:pStyle w:val="NoSpacing"/>
      </w:pPr>
      <w:r w:rsidRPr="00D13862">
        <w:t>Q3b Guidance development</w:t>
      </w:r>
    </w:p>
    <w:p w:rsidR="00D13862" w:rsidRPr="00D13862" w:rsidRDefault="00D13862" w:rsidP="00493997">
      <w:pPr>
        <w:pStyle w:val="NoSpacing"/>
        <w:numPr>
          <w:ilvl w:val="0"/>
          <w:numId w:val="11"/>
        </w:numPr>
      </w:pPr>
      <w:r w:rsidRPr="00D13862">
        <w:t>Strengthened Inclusion: To what extent do the three Humanitarian Guidance documents provide effective tools for strengthening the inclusion of older persons and other vulnerable groups in humanitarian action at both the global policy and the field level? (HAI)</w:t>
      </w:r>
      <w:r w:rsidRPr="00D13862">
        <w:tab/>
      </w:r>
    </w:p>
    <w:p w:rsidR="00D13862" w:rsidRPr="00D13862" w:rsidRDefault="00D13862" w:rsidP="00D13862">
      <w:pPr>
        <w:pStyle w:val="NoSpacing"/>
      </w:pPr>
    </w:p>
    <w:p w:rsidR="00D13862" w:rsidRPr="00D13862" w:rsidRDefault="00D13862" w:rsidP="00D13862">
      <w:pPr>
        <w:pStyle w:val="NoSpacing"/>
      </w:pPr>
      <w:r w:rsidRPr="00D13862">
        <w:t>Q4 Efficiency</w:t>
      </w:r>
      <w:r w:rsidRPr="00D13862">
        <w:tab/>
      </w:r>
    </w:p>
    <w:p w:rsidR="00D13862" w:rsidRPr="00D13862" w:rsidRDefault="00D13862" w:rsidP="00493997">
      <w:pPr>
        <w:pStyle w:val="NoSpacing"/>
        <w:numPr>
          <w:ilvl w:val="0"/>
          <w:numId w:val="11"/>
        </w:numPr>
      </w:pPr>
      <w:r w:rsidRPr="00D13862">
        <w:t>Cost-efficiency: Were objectives cost-efficient (i.e. implemented in the most efficient way compared to alternatives)? (AL)</w:t>
      </w:r>
    </w:p>
    <w:p w:rsidR="00D13862" w:rsidRPr="00D13862" w:rsidRDefault="00D13862" w:rsidP="00D13862">
      <w:pPr>
        <w:pStyle w:val="NoSpacing"/>
      </w:pPr>
    </w:p>
    <w:p w:rsidR="00D13862" w:rsidRPr="00D13862" w:rsidRDefault="00D13862" w:rsidP="00D13862">
      <w:pPr>
        <w:pStyle w:val="NoSpacing"/>
      </w:pPr>
      <w:r w:rsidRPr="00D13862">
        <w:t>Q5 Sustainability</w:t>
      </w:r>
    </w:p>
    <w:p w:rsidR="00D13862" w:rsidRPr="00D13862" w:rsidRDefault="00D13862" w:rsidP="00493997">
      <w:pPr>
        <w:pStyle w:val="NoSpacing"/>
        <w:numPr>
          <w:ilvl w:val="0"/>
          <w:numId w:val="11"/>
        </w:numPr>
      </w:pPr>
      <w:r w:rsidRPr="00D13862">
        <w:t>Scale: How many people have been affected by the Project? (AL)</w:t>
      </w:r>
    </w:p>
    <w:p w:rsidR="00D13862" w:rsidRPr="00D13862" w:rsidRDefault="00D13862" w:rsidP="00493997">
      <w:pPr>
        <w:pStyle w:val="NoSpacing"/>
        <w:numPr>
          <w:ilvl w:val="0"/>
          <w:numId w:val="11"/>
        </w:numPr>
      </w:pPr>
      <w:r w:rsidRPr="00D13862">
        <w:t>Continued Benefits: To what extent will the benefits of the Project continue after donor funding is ceased? (AL)</w:t>
      </w:r>
    </w:p>
    <w:p w:rsidR="00D13862" w:rsidRPr="00D13862" w:rsidRDefault="00D13862" w:rsidP="00493997">
      <w:pPr>
        <w:pStyle w:val="NoSpacing"/>
        <w:numPr>
          <w:ilvl w:val="0"/>
          <w:numId w:val="11"/>
        </w:numPr>
      </w:pPr>
      <w:r w:rsidRPr="00D13862">
        <w:t>Factors: What are the major factors that influence the sustainability of the programme? (AL)</w:t>
      </w:r>
    </w:p>
    <w:p w:rsidR="00D13862" w:rsidRPr="00D13862" w:rsidRDefault="00D13862" w:rsidP="00D13862">
      <w:pPr>
        <w:pStyle w:val="NoSpacing"/>
      </w:pPr>
    </w:p>
    <w:p w:rsidR="00D13862" w:rsidRPr="00D13862" w:rsidRDefault="00D13862" w:rsidP="00D13862">
      <w:pPr>
        <w:pStyle w:val="NoSpacing"/>
      </w:pPr>
      <w:r w:rsidRPr="00D13862">
        <w:t>Q6 Contributions to outcomes</w:t>
      </w:r>
    </w:p>
    <w:p w:rsidR="00D13862" w:rsidRPr="00D13862" w:rsidRDefault="00D13862" w:rsidP="00493997">
      <w:pPr>
        <w:pStyle w:val="NoSpacing"/>
        <w:numPr>
          <w:ilvl w:val="0"/>
          <w:numId w:val="12"/>
        </w:numPr>
      </w:pPr>
      <w:r w:rsidRPr="00D13862">
        <w:t>Appropriate measures/external: Which external changes are appropriate to measure the Project’s success: e.g. building support/allies; reading/reacting to the climate (e.g. ability to seize opportunities); progress with decision-makers; or other? (AL)</w:t>
      </w:r>
    </w:p>
    <w:p w:rsidR="00D13862" w:rsidRPr="00D13862" w:rsidRDefault="00D13862" w:rsidP="00493997">
      <w:pPr>
        <w:pStyle w:val="NoSpacing"/>
        <w:numPr>
          <w:ilvl w:val="0"/>
          <w:numId w:val="12"/>
        </w:numPr>
      </w:pPr>
      <w:r w:rsidRPr="00D13862">
        <w:t xml:space="preserve">Appropriate measures/external: Which internal changes are appropriate to measure the Project’s success: e.g. </w:t>
      </w:r>
      <w:proofErr w:type="gramStart"/>
      <w:r w:rsidRPr="00D13862">
        <w:t>Increased</w:t>
      </w:r>
      <w:proofErr w:type="gramEnd"/>
      <w:r w:rsidRPr="00D13862">
        <w:t xml:space="preserve"> staff capacity; lower staff turnover; strengthened internal communications and knowledge-sharing; or other? (AL)</w:t>
      </w:r>
    </w:p>
    <w:p w:rsidR="00D13862" w:rsidRPr="00D13862" w:rsidRDefault="00D13862" w:rsidP="00D13862">
      <w:pPr>
        <w:pStyle w:val="NoSpacing"/>
      </w:pPr>
    </w:p>
    <w:p w:rsidR="00D13862" w:rsidRPr="00D13862" w:rsidRDefault="00D13862" w:rsidP="00D13862">
      <w:pPr>
        <w:pStyle w:val="NoSpacing"/>
      </w:pPr>
      <w:r w:rsidRPr="00D13862">
        <w:lastRenderedPageBreak/>
        <w:t>Q6a Capacity building</w:t>
      </w:r>
    </w:p>
    <w:p w:rsidR="00D13862" w:rsidRPr="00D13862" w:rsidRDefault="00D13862" w:rsidP="00493997">
      <w:pPr>
        <w:pStyle w:val="NoSpacing"/>
        <w:numPr>
          <w:ilvl w:val="0"/>
          <w:numId w:val="13"/>
        </w:numPr>
      </w:pPr>
      <w:r w:rsidRPr="00D13862">
        <w:t>Inclusion in programme planning: To what extent has the Project led to changes in practice to ensure the inclusion of older people and other vulnerable groups in programme planning and design? (HAI)</w:t>
      </w:r>
    </w:p>
    <w:p w:rsidR="00D13862" w:rsidRPr="00D13862" w:rsidRDefault="00D13862" w:rsidP="00493997">
      <w:pPr>
        <w:pStyle w:val="NoSpacing"/>
        <w:numPr>
          <w:ilvl w:val="0"/>
          <w:numId w:val="13"/>
        </w:numPr>
      </w:pPr>
      <w:r w:rsidRPr="00D13862">
        <w:t xml:space="preserve">CAP response: In what ways </w:t>
      </w:r>
      <w:proofErr w:type="gramStart"/>
      <w:r w:rsidRPr="00D13862">
        <w:t>have CAP staff</w:t>
      </w:r>
      <w:proofErr w:type="gramEnd"/>
      <w:r w:rsidRPr="00D13862">
        <w:t xml:space="preserve"> responded to training materials provided by </w:t>
      </w:r>
      <w:proofErr w:type="spellStart"/>
      <w:r w:rsidRPr="00D13862">
        <w:t>HelpAge</w:t>
      </w:r>
      <w:proofErr w:type="spellEnd"/>
      <w:r w:rsidRPr="00D13862">
        <w:t xml:space="preserve"> staff? (HAI)</w:t>
      </w:r>
      <w:r w:rsidRPr="00D13862">
        <w:tab/>
      </w:r>
    </w:p>
    <w:p w:rsidR="00D13862" w:rsidRPr="00D13862" w:rsidRDefault="00D13862" w:rsidP="00D13862">
      <w:pPr>
        <w:pStyle w:val="NoSpacing"/>
      </w:pPr>
    </w:p>
    <w:p w:rsidR="00D13862" w:rsidRPr="00D13862" w:rsidRDefault="00D13862" w:rsidP="00D13862">
      <w:pPr>
        <w:pStyle w:val="NoSpacing"/>
      </w:pPr>
      <w:r w:rsidRPr="00D13862">
        <w:t>Q6b Guidance development</w:t>
      </w:r>
    </w:p>
    <w:p w:rsidR="00D13862" w:rsidRPr="00D13862" w:rsidRDefault="00D13862" w:rsidP="00493997">
      <w:pPr>
        <w:pStyle w:val="NoSpacing"/>
        <w:numPr>
          <w:ilvl w:val="0"/>
          <w:numId w:val="14"/>
        </w:numPr>
      </w:pPr>
      <w:r w:rsidRPr="00D13862">
        <w:t>Utilization: To what extent have such tools been used or are currently being integrated into the policy and practice of major humanitarian agencies? (HAI)</w:t>
      </w:r>
    </w:p>
    <w:p w:rsidR="00D13862" w:rsidRPr="00D13862" w:rsidRDefault="00D13862" w:rsidP="00493997">
      <w:pPr>
        <w:pStyle w:val="NoSpacing"/>
        <w:numPr>
          <w:ilvl w:val="0"/>
          <w:numId w:val="14"/>
        </w:numPr>
      </w:pPr>
      <w:r w:rsidRPr="00D13862">
        <w:t xml:space="preserve">Needs Assessment/Utility: To what extent does the needs assessment methodology produced by </w:t>
      </w:r>
      <w:proofErr w:type="spellStart"/>
      <w:r w:rsidRPr="00D13862">
        <w:t>HelpAge</w:t>
      </w:r>
      <w:proofErr w:type="spellEnd"/>
      <w:r w:rsidRPr="00D13862">
        <w:t xml:space="preserve"> provide effective tools to identify and include older men and women in the first phase of an emergency? (HAI)</w:t>
      </w:r>
    </w:p>
    <w:p w:rsidR="00D13862" w:rsidRPr="00D13862" w:rsidRDefault="00D13862" w:rsidP="00493997">
      <w:pPr>
        <w:pStyle w:val="NoSpacing"/>
        <w:numPr>
          <w:ilvl w:val="0"/>
          <w:numId w:val="14"/>
        </w:numPr>
      </w:pPr>
      <w:r w:rsidRPr="00D13862">
        <w:t xml:space="preserve">Methodology/Utility: Does </w:t>
      </w:r>
      <w:proofErr w:type="spellStart"/>
      <w:r w:rsidRPr="00D13862">
        <w:t>HelpAge’s</w:t>
      </w:r>
      <w:proofErr w:type="spellEnd"/>
      <w:r w:rsidRPr="00D13862">
        <w:t xml:space="preserve"> data disaggregation methodology utilised in the needs assessment guidance represent a qualitative step forward in identifying the needs of older men and women and other vulnerable groups in emergencies? (HAI)</w:t>
      </w:r>
    </w:p>
    <w:p w:rsidR="00D13862" w:rsidRPr="00D13862" w:rsidRDefault="00D13862" w:rsidP="00D13862">
      <w:pPr>
        <w:pStyle w:val="NoSpacing"/>
      </w:pPr>
    </w:p>
    <w:p w:rsidR="00D13862" w:rsidRPr="00D13862" w:rsidRDefault="00D13862" w:rsidP="00D13862">
      <w:pPr>
        <w:pStyle w:val="NoSpacing"/>
      </w:pPr>
      <w:r w:rsidRPr="00D13862">
        <w:t>Q6c Advocacy</w:t>
      </w:r>
    </w:p>
    <w:p w:rsidR="00D13862" w:rsidRPr="00D13862" w:rsidRDefault="00D13862" w:rsidP="00493997">
      <w:pPr>
        <w:pStyle w:val="NoSpacing"/>
        <w:numPr>
          <w:ilvl w:val="0"/>
          <w:numId w:val="15"/>
        </w:numPr>
      </w:pPr>
      <w:r w:rsidRPr="00D13862">
        <w:t>Visibility: Is ageing more visible today in the humanitarian policy environment as a product of the influencing activity? (HAI)</w:t>
      </w:r>
    </w:p>
    <w:p w:rsidR="00D13862" w:rsidRPr="00D13862" w:rsidRDefault="00D13862" w:rsidP="00493997">
      <w:pPr>
        <w:pStyle w:val="NoSpacing"/>
        <w:numPr>
          <w:ilvl w:val="0"/>
          <w:numId w:val="15"/>
        </w:numPr>
      </w:pPr>
      <w:r w:rsidRPr="00D13862">
        <w:t>Changes: What are the main global policy changes produced by the influencing activity? (HAI)</w:t>
      </w:r>
    </w:p>
    <w:p w:rsidR="00D13862" w:rsidRPr="00D13862" w:rsidRDefault="00D13862" w:rsidP="00493997">
      <w:pPr>
        <w:pStyle w:val="NoSpacing"/>
        <w:numPr>
          <w:ilvl w:val="0"/>
          <w:numId w:val="15"/>
        </w:numPr>
      </w:pPr>
      <w:r w:rsidRPr="00D13862">
        <w:t xml:space="preserve">Conversion/Guidelines: Was policy concerning ageing converted into cluster/sector-specific technical guidelines? (HAI) </w:t>
      </w:r>
    </w:p>
    <w:p w:rsidR="00D13862" w:rsidRPr="00D13862" w:rsidRDefault="00D13862" w:rsidP="00493997">
      <w:pPr>
        <w:pStyle w:val="NoSpacing"/>
        <w:numPr>
          <w:ilvl w:val="0"/>
          <w:numId w:val="15"/>
        </w:numPr>
      </w:pPr>
      <w:r w:rsidRPr="00D13862">
        <w:t>Training: Did this inform cluster/sector-specific training? (HAI)</w:t>
      </w:r>
    </w:p>
    <w:p w:rsidR="00D13862" w:rsidRPr="00D13862" w:rsidRDefault="00D13862" w:rsidP="00493997">
      <w:pPr>
        <w:pStyle w:val="NoSpacing"/>
        <w:numPr>
          <w:ilvl w:val="0"/>
          <w:numId w:val="15"/>
        </w:numPr>
      </w:pPr>
      <w:r w:rsidRPr="00D13862">
        <w:t>Tools/Mechanisms: Did this inform specific tools or mechanisms? (HAI)</w:t>
      </w:r>
    </w:p>
    <w:p w:rsidR="00D13862" w:rsidRPr="00D13862" w:rsidRDefault="00D13862" w:rsidP="00D13862">
      <w:pPr>
        <w:pStyle w:val="NoSpacing"/>
      </w:pPr>
    </w:p>
    <w:p w:rsidR="00D13862" w:rsidRPr="00D13862" w:rsidRDefault="00D13862" w:rsidP="00D13862">
      <w:pPr>
        <w:pStyle w:val="NoSpacing"/>
      </w:pPr>
      <w:r w:rsidRPr="00D13862">
        <w:t>Q7 Impact</w:t>
      </w:r>
      <w:r w:rsidRPr="00D13862">
        <w:tab/>
      </w:r>
    </w:p>
    <w:p w:rsidR="00D13862" w:rsidRPr="00D13862" w:rsidRDefault="00D13862" w:rsidP="00D13862">
      <w:pPr>
        <w:pStyle w:val="NoSpacing"/>
        <w:numPr>
          <w:ilvl w:val="0"/>
          <w:numId w:val="5"/>
        </w:numPr>
      </w:pPr>
      <w:r w:rsidRPr="00D13862">
        <w:t>Impact: What has happened as a result of the Project? (AL)</w:t>
      </w:r>
      <w:r w:rsidRPr="00D13862">
        <w:tab/>
      </w:r>
    </w:p>
    <w:p w:rsidR="00D13862" w:rsidRPr="00D13862" w:rsidRDefault="00D13862" w:rsidP="00D13862">
      <w:pPr>
        <w:pStyle w:val="NoSpacing"/>
        <w:numPr>
          <w:ilvl w:val="0"/>
          <w:numId w:val="5"/>
        </w:numPr>
      </w:pPr>
      <w:r w:rsidRPr="00D13862">
        <w:t>Difference: What real difference has the activity made to the beneficiaries?</w:t>
      </w:r>
      <w:r w:rsidRPr="00D13862">
        <w:tab/>
        <w:t>(AL)</w:t>
      </w:r>
      <w:r w:rsidRPr="00D13862">
        <w:tab/>
      </w:r>
    </w:p>
    <w:p w:rsidR="00D13862" w:rsidRPr="00D13862" w:rsidRDefault="00D13862" w:rsidP="00D13862">
      <w:pPr>
        <w:pStyle w:val="NoSpacing"/>
      </w:pPr>
    </w:p>
    <w:p w:rsidR="00D13862" w:rsidRPr="00D13862" w:rsidRDefault="00D13862" w:rsidP="00D13862">
      <w:pPr>
        <w:pStyle w:val="NoSpacing"/>
      </w:pPr>
      <w:r w:rsidRPr="00D13862">
        <w:t>Q7a Capacity building</w:t>
      </w:r>
    </w:p>
    <w:p w:rsidR="00D13862" w:rsidRPr="00D13862" w:rsidRDefault="00D13862" w:rsidP="00493997">
      <w:pPr>
        <w:pStyle w:val="NoSpacing"/>
        <w:numPr>
          <w:ilvl w:val="0"/>
          <w:numId w:val="16"/>
        </w:numPr>
      </w:pPr>
      <w:r w:rsidRPr="00D13862">
        <w:t>Evidence/Change in Programmes: Does evidence show that programme changes were introduced as a result of people being trained? (HAI)</w:t>
      </w:r>
    </w:p>
    <w:p w:rsidR="00D13862" w:rsidRPr="00D13862" w:rsidRDefault="00D13862" w:rsidP="00D13862">
      <w:pPr>
        <w:pStyle w:val="NoSpacing"/>
      </w:pPr>
    </w:p>
    <w:p w:rsidR="00D13862" w:rsidRPr="00D13862" w:rsidRDefault="00D13862" w:rsidP="00D13862">
      <w:pPr>
        <w:pStyle w:val="NoSpacing"/>
      </w:pPr>
      <w:r w:rsidRPr="00D13862">
        <w:t>Q7b Guidance development</w:t>
      </w:r>
    </w:p>
    <w:p w:rsidR="00D13862" w:rsidRPr="00D13862" w:rsidRDefault="00D13862" w:rsidP="00493997">
      <w:pPr>
        <w:pStyle w:val="NoSpacing"/>
        <w:numPr>
          <w:ilvl w:val="0"/>
          <w:numId w:val="16"/>
        </w:numPr>
      </w:pPr>
      <w:r w:rsidRPr="00D13862">
        <w:t xml:space="preserve">Evidence/Change in Policy/Practice: In the four field sites where needs assessment and needs assessment training took </w:t>
      </w:r>
      <w:proofErr w:type="gramStart"/>
      <w:r w:rsidRPr="00D13862">
        <w:t>place,</w:t>
      </w:r>
      <w:proofErr w:type="gramEnd"/>
      <w:r w:rsidRPr="00D13862">
        <w:t xml:space="preserve"> what evidence is available of changes in policy and practice among humanitarian agencies as a result of the action? (HAI)</w:t>
      </w:r>
      <w:r w:rsidRPr="00D13862">
        <w:tab/>
      </w:r>
    </w:p>
    <w:p w:rsidR="00D13862" w:rsidRPr="00D13862" w:rsidRDefault="00D13862" w:rsidP="00493997">
      <w:pPr>
        <w:pStyle w:val="NoSpacing"/>
        <w:numPr>
          <w:ilvl w:val="0"/>
          <w:numId w:val="16"/>
        </w:numPr>
      </w:pPr>
      <w:r w:rsidRPr="00D13862">
        <w:t xml:space="preserve">Evidence/Change in Financing: What is the discernible impact and influence of the two </w:t>
      </w:r>
      <w:proofErr w:type="spellStart"/>
      <w:r w:rsidRPr="00D13862">
        <w:t>HelpAge</w:t>
      </w:r>
      <w:proofErr w:type="spellEnd"/>
      <w:r w:rsidRPr="00D13862">
        <w:t xml:space="preserve"> Policy reports on ageing and displacement and humanitarian financing for older men and women and men and women with disabilities on current humanitarian policy and practice? (HAI)</w:t>
      </w:r>
    </w:p>
    <w:p w:rsidR="00D13862" w:rsidRPr="00D13862" w:rsidRDefault="00D13862" w:rsidP="00D13862">
      <w:pPr>
        <w:pStyle w:val="NoSpacing"/>
      </w:pPr>
    </w:p>
    <w:p w:rsidR="00D13862" w:rsidRPr="00D13862" w:rsidRDefault="00D13862" w:rsidP="00D13862">
      <w:pPr>
        <w:pStyle w:val="NoSpacing"/>
      </w:pPr>
      <w:r w:rsidRPr="00D13862">
        <w:t>Q7c Advocacy</w:t>
      </w:r>
    </w:p>
    <w:p w:rsidR="00D13862" w:rsidRPr="00D13862" w:rsidRDefault="00D13862" w:rsidP="00493997">
      <w:pPr>
        <w:pStyle w:val="NoSpacing"/>
        <w:numPr>
          <w:ilvl w:val="0"/>
          <w:numId w:val="17"/>
        </w:numPr>
      </w:pPr>
      <w:r w:rsidRPr="00D13862">
        <w:t>Evidence/Change in Practice: Is there any evidence that the influencing activity produced changes in practices? (HAI)</w:t>
      </w:r>
    </w:p>
    <w:p w:rsidR="00D13862" w:rsidRPr="00D13862" w:rsidRDefault="00D13862" w:rsidP="00D13862">
      <w:pPr>
        <w:pStyle w:val="NoSpacing"/>
      </w:pPr>
    </w:p>
    <w:p w:rsidR="00D13862" w:rsidRPr="00D13862" w:rsidRDefault="00D13862" w:rsidP="00D13862">
      <w:pPr>
        <w:pStyle w:val="NoSpacing"/>
      </w:pPr>
      <w:r w:rsidRPr="00D13862">
        <w:t>Q8 Lessons learned</w:t>
      </w:r>
      <w:r w:rsidRPr="00D13862">
        <w:tab/>
      </w:r>
    </w:p>
    <w:p w:rsidR="00D13862" w:rsidRPr="00D13862" w:rsidRDefault="00D13862" w:rsidP="00493997">
      <w:pPr>
        <w:pStyle w:val="NoSpacing"/>
        <w:numPr>
          <w:ilvl w:val="0"/>
          <w:numId w:val="17"/>
        </w:numPr>
      </w:pPr>
      <w:r w:rsidRPr="00D13862">
        <w:t>Strengths/Weaknesses: What key strengths or weaknesses in preparation, design, and implementation affected performance, outcomes, and impact? (AL)</w:t>
      </w:r>
    </w:p>
    <w:p w:rsidR="00D46C92" w:rsidRDefault="00D13862" w:rsidP="00D13862">
      <w:pPr>
        <w:pStyle w:val="NoSpacing"/>
      </w:pPr>
      <w:r w:rsidRPr="00D13862">
        <w:t>Lessons: What generalizations can be abstracted from the specific circumstances to broader situations/activities in this sector? (AL)</w:t>
      </w:r>
    </w:p>
    <w:p w:rsidR="003C7A68" w:rsidRPr="00D13862" w:rsidRDefault="003C7A68" w:rsidP="003C7A68">
      <w:pPr>
        <w:pStyle w:val="Heading1"/>
        <w:rPr>
          <w:color w:val="auto"/>
        </w:rPr>
      </w:pPr>
      <w:bookmarkStart w:id="14" w:name="_Toc352225940"/>
      <w:r>
        <w:rPr>
          <w:color w:val="auto"/>
        </w:rPr>
        <w:t>Annex 4: Terms of Reference</w:t>
      </w:r>
      <w:bookmarkEnd w:id="14"/>
    </w:p>
    <w:p w:rsidR="007B057B" w:rsidRDefault="007B057B" w:rsidP="007B057B">
      <w:pPr>
        <w:spacing w:after="0" w:line="240" w:lineRule="auto"/>
        <w:rPr>
          <w:rFonts w:ascii="Arial" w:eastAsia="Calibri" w:hAnsi="Arial" w:cs="Arial"/>
          <w:b/>
          <w:sz w:val="24"/>
          <w:szCs w:val="24"/>
          <w:lang w:eastAsia="en-GB"/>
        </w:rPr>
      </w:pPr>
    </w:p>
    <w:p w:rsidR="007B057B" w:rsidRPr="007B057B" w:rsidRDefault="007B057B" w:rsidP="007B057B">
      <w:pPr>
        <w:spacing w:after="0" w:line="240" w:lineRule="auto"/>
        <w:rPr>
          <w:rFonts w:asciiTheme="majorHAnsi" w:eastAsia="Calibri" w:hAnsiTheme="majorHAnsi" w:cs="Arial"/>
          <w:b/>
          <w:sz w:val="28"/>
          <w:szCs w:val="28"/>
          <w:lang w:eastAsia="en-GB"/>
        </w:rPr>
      </w:pPr>
      <w:proofErr w:type="spellStart"/>
      <w:r w:rsidRPr="007B057B">
        <w:rPr>
          <w:rFonts w:asciiTheme="majorHAnsi" w:eastAsia="Calibri" w:hAnsiTheme="majorHAnsi" w:cs="Arial"/>
          <w:b/>
          <w:sz w:val="28"/>
          <w:szCs w:val="28"/>
          <w:lang w:eastAsia="en-GB"/>
        </w:rPr>
        <w:t>HelpAge</w:t>
      </w:r>
      <w:proofErr w:type="spellEnd"/>
      <w:r w:rsidRPr="007B057B">
        <w:rPr>
          <w:rFonts w:asciiTheme="majorHAnsi" w:eastAsia="Calibri" w:hAnsiTheme="majorHAnsi" w:cs="Arial"/>
          <w:b/>
          <w:sz w:val="28"/>
          <w:szCs w:val="28"/>
          <w:lang w:eastAsia="en-GB"/>
        </w:rPr>
        <w:t xml:space="preserve"> International</w:t>
      </w:r>
    </w:p>
    <w:p w:rsidR="007B057B" w:rsidRPr="007B057B" w:rsidRDefault="007B057B" w:rsidP="007B057B">
      <w:pPr>
        <w:pBdr>
          <w:bottom w:val="single" w:sz="6" w:space="1" w:color="auto"/>
        </w:pBdr>
        <w:spacing w:after="0" w:line="240" w:lineRule="auto"/>
        <w:rPr>
          <w:rFonts w:ascii="Arial" w:eastAsia="Calibri" w:hAnsi="Arial" w:cs="Arial"/>
          <w:b/>
          <w:sz w:val="24"/>
          <w:szCs w:val="24"/>
          <w:lang w:eastAsia="en-GB"/>
        </w:rPr>
      </w:pPr>
    </w:p>
    <w:p w:rsidR="007B057B" w:rsidRPr="007B057B" w:rsidRDefault="007B057B" w:rsidP="007B057B">
      <w:pPr>
        <w:spacing w:after="0" w:line="240" w:lineRule="auto"/>
        <w:rPr>
          <w:rFonts w:ascii="Arial" w:eastAsia="Calibri" w:hAnsi="Arial" w:cs="Arial"/>
          <w:b/>
          <w:sz w:val="24"/>
          <w:szCs w:val="24"/>
          <w:lang w:eastAsia="en-GB"/>
        </w:rPr>
      </w:pP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r w:rsidRPr="007B057B">
        <w:rPr>
          <w:rFonts w:ascii="Arial" w:eastAsia="Calibri" w:hAnsi="Arial" w:cs="Arial"/>
          <w:b/>
          <w:sz w:val="24"/>
          <w:szCs w:val="24"/>
          <w:lang w:eastAsia="en-GB"/>
        </w:rPr>
        <w:t xml:space="preserve">Project Title: </w:t>
      </w:r>
      <w:r w:rsidRPr="007B057B">
        <w:rPr>
          <w:rFonts w:ascii="Arial" w:eastAsia="Calibri" w:hAnsi="Arial" w:cs="Arial"/>
          <w:b/>
          <w:sz w:val="24"/>
          <w:szCs w:val="24"/>
        </w:rPr>
        <w:t>Strengthening the quality and effectiveness of humanitarian response to ensure it meets the needs of older men and women and other vulnerable groups.</w:t>
      </w: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r w:rsidRPr="007B057B">
        <w:rPr>
          <w:rFonts w:ascii="Arial" w:eastAsia="Calibri" w:hAnsi="Arial" w:cs="Arial"/>
          <w:b/>
          <w:sz w:val="24"/>
          <w:szCs w:val="24"/>
        </w:rPr>
        <w:t>Donor Reference: ECHO/ERC/BUD/2011/01008</w:t>
      </w: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p>
    <w:p w:rsidR="007B057B" w:rsidRPr="007B057B" w:rsidRDefault="007B057B" w:rsidP="007B057B">
      <w:pPr>
        <w:pBdr>
          <w:bottom w:val="single" w:sz="6" w:space="1" w:color="auto"/>
        </w:pBdr>
        <w:autoSpaceDE w:val="0"/>
        <w:autoSpaceDN w:val="0"/>
        <w:adjustRightInd w:val="0"/>
        <w:spacing w:after="0" w:line="240" w:lineRule="auto"/>
        <w:rPr>
          <w:rFonts w:ascii="Arial" w:eastAsia="Calibri" w:hAnsi="Arial" w:cs="Arial"/>
          <w:b/>
          <w:sz w:val="24"/>
          <w:szCs w:val="24"/>
        </w:rPr>
      </w:pPr>
      <w:r w:rsidRPr="007B057B">
        <w:rPr>
          <w:rFonts w:ascii="Arial" w:eastAsia="Calibri" w:hAnsi="Arial" w:cs="Arial"/>
          <w:b/>
          <w:sz w:val="24"/>
          <w:szCs w:val="24"/>
        </w:rPr>
        <w:t>Project Duration: 01/07/11 - 31/12/12</w:t>
      </w:r>
    </w:p>
    <w:p w:rsidR="007B057B" w:rsidRPr="007B057B" w:rsidRDefault="007B057B" w:rsidP="007B057B">
      <w:pPr>
        <w:pBdr>
          <w:bottom w:val="single" w:sz="6" w:space="1" w:color="auto"/>
        </w:pBdr>
        <w:autoSpaceDE w:val="0"/>
        <w:autoSpaceDN w:val="0"/>
        <w:adjustRightInd w:val="0"/>
        <w:spacing w:after="0" w:line="240" w:lineRule="auto"/>
        <w:rPr>
          <w:rFonts w:ascii="Arial" w:eastAsia="Calibri" w:hAnsi="Arial" w:cs="Arial"/>
          <w:b/>
          <w:sz w:val="24"/>
          <w:szCs w:val="24"/>
        </w:rPr>
      </w:pP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493997">
      <w:pPr>
        <w:numPr>
          <w:ilvl w:val="0"/>
          <w:numId w:val="19"/>
        </w:numPr>
        <w:spacing w:after="0" w:line="240" w:lineRule="auto"/>
        <w:rPr>
          <w:rFonts w:ascii="Arial" w:eastAsia="Calibri" w:hAnsi="Arial" w:cs="Arial"/>
          <w:b/>
          <w:sz w:val="24"/>
          <w:szCs w:val="24"/>
          <w:lang w:eastAsia="en-GB"/>
        </w:rPr>
      </w:pPr>
      <w:r w:rsidRPr="007B057B">
        <w:rPr>
          <w:rFonts w:ascii="Arial" w:eastAsia="Calibri" w:hAnsi="Arial" w:cs="Arial"/>
          <w:b/>
          <w:sz w:val="24"/>
          <w:szCs w:val="24"/>
          <w:lang w:eastAsia="en-GB"/>
        </w:rPr>
        <w:t>Background</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Approximately 11% of the world's population is over 60. Despite the high numbers affected, older men and women's needs are not adequately addressed in international humanitarian action. These needs include:</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493997">
      <w:pPr>
        <w:numPr>
          <w:ilvl w:val="0"/>
          <w:numId w:val="22"/>
        </w:num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Healthcare, e.g. treatment for age-related chronic diseases, mental health conditions and visual impairment</w:t>
      </w:r>
    </w:p>
    <w:p w:rsidR="007B057B" w:rsidRPr="007B057B" w:rsidRDefault="007B057B" w:rsidP="00493997">
      <w:pPr>
        <w:numPr>
          <w:ilvl w:val="0"/>
          <w:numId w:val="22"/>
        </w:num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Nutritional support that takes into account specific age-related requirements</w:t>
      </w:r>
    </w:p>
    <w:p w:rsidR="007B057B" w:rsidRPr="007B057B" w:rsidRDefault="007B057B" w:rsidP="00493997">
      <w:pPr>
        <w:numPr>
          <w:ilvl w:val="0"/>
          <w:numId w:val="22"/>
        </w:num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Accessible relief distributions and appropriate livelihoods’ support for those with reduced strength and mobility</w:t>
      </w:r>
    </w:p>
    <w:p w:rsidR="007B057B" w:rsidRPr="007B057B" w:rsidRDefault="007B057B" w:rsidP="00493997">
      <w:pPr>
        <w:numPr>
          <w:ilvl w:val="0"/>
          <w:numId w:val="22"/>
        </w:num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Protection requirements (e.g. tracing and family reunification for older people separated by displacement).</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This gap is currently reflected in humanitarian action at different levels. At the operational level, the Cluster system does not currently ensure a coordinated response to older persons' needs. Underpinning this uncoordinated response is an apparent lack of humanitarian staff with competency in responding to the needs of older men and women and other vulnerable groups, and needs assessments which do not recognise older people’s vulnerabilities. Finally, donors do not allocate resources based on assessment of need to ensure responses are inclusive of older men and women.</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b/>
          <w:sz w:val="24"/>
          <w:szCs w:val="24"/>
          <w:lang w:eastAsia="en-GB"/>
        </w:rPr>
        <w:t xml:space="preserve">2.0) PROJECT RATIONALE AND PROPOSED AREAS OF INTERVENTION </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roofErr w:type="spellStart"/>
      <w:r w:rsidRPr="007B057B">
        <w:rPr>
          <w:rFonts w:ascii="Arial" w:eastAsia="Calibri" w:hAnsi="Arial" w:cs="Arial"/>
          <w:sz w:val="24"/>
          <w:szCs w:val="24"/>
        </w:rPr>
        <w:t>HelpAge</w:t>
      </w:r>
      <w:proofErr w:type="spellEnd"/>
      <w:r w:rsidRPr="007B057B">
        <w:rPr>
          <w:rFonts w:ascii="Arial" w:eastAsia="Calibri" w:hAnsi="Arial" w:cs="Arial"/>
          <w:sz w:val="24"/>
          <w:szCs w:val="24"/>
        </w:rPr>
        <w:t xml:space="preserve"> International carried out a global review of progress on humanitarian action and older people since 2007, on behalf of the IASC Working Group (WG) </w:t>
      </w:r>
      <w:r w:rsidRPr="007B057B">
        <w:rPr>
          <w:rFonts w:ascii="Arial" w:eastAsia="Calibri" w:hAnsi="Arial" w:cs="Arial"/>
          <w:iCs/>
          <w:sz w:val="24"/>
          <w:szCs w:val="24"/>
        </w:rPr>
        <w:t>resulting in the report</w:t>
      </w:r>
      <w:r w:rsidRPr="007B057B">
        <w:rPr>
          <w:rFonts w:ascii="Arial" w:eastAsia="Calibri" w:hAnsi="Arial" w:cs="Arial"/>
          <w:i/>
          <w:iCs/>
          <w:sz w:val="24"/>
          <w:szCs w:val="24"/>
        </w:rPr>
        <w:t xml:space="preserve"> </w:t>
      </w:r>
      <w:r w:rsidRPr="007B057B">
        <w:rPr>
          <w:rFonts w:ascii="Arial" w:eastAsia="Calibri" w:hAnsi="Arial" w:cs="Arial"/>
          <w:iCs/>
          <w:sz w:val="24"/>
          <w:szCs w:val="24"/>
        </w:rPr>
        <w:t>on</w:t>
      </w:r>
      <w:r w:rsidRPr="007B057B">
        <w:rPr>
          <w:rFonts w:ascii="Arial" w:eastAsia="Calibri" w:hAnsi="Arial" w:cs="Arial"/>
          <w:i/>
          <w:iCs/>
          <w:sz w:val="24"/>
          <w:szCs w:val="24"/>
        </w:rPr>
        <w:t xml:space="preserve"> "Mainstreaming Ageing in Inter-</w:t>
      </w:r>
      <w:r w:rsidRPr="007B057B">
        <w:rPr>
          <w:rFonts w:ascii="Arial" w:eastAsia="Calibri" w:hAnsi="Arial" w:cs="Arial"/>
          <w:iCs/>
          <w:sz w:val="24"/>
          <w:szCs w:val="24"/>
        </w:rPr>
        <w:t>Agency</w:t>
      </w:r>
      <w:r w:rsidRPr="007B057B">
        <w:rPr>
          <w:rFonts w:ascii="Arial" w:eastAsia="Calibri" w:hAnsi="Arial" w:cs="Arial"/>
          <w:i/>
          <w:iCs/>
          <w:sz w:val="24"/>
          <w:szCs w:val="24"/>
        </w:rPr>
        <w:t xml:space="preserve"> Humanitarian Processes and Products" </w:t>
      </w:r>
      <w:r w:rsidRPr="007B057B">
        <w:rPr>
          <w:rFonts w:ascii="Arial" w:eastAsia="Calibri" w:hAnsi="Arial" w:cs="Arial"/>
          <w:sz w:val="24"/>
          <w:szCs w:val="24"/>
        </w:rPr>
        <w:t>IASC Working Group (November 2010).</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 xml:space="preserve"> The review identified three major policy areas for potential interventions.</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 xml:space="preserve">2.1) </w:t>
      </w:r>
      <w:r w:rsidRPr="007B057B">
        <w:rPr>
          <w:rFonts w:ascii="Arial" w:eastAsia="Calibri" w:hAnsi="Arial" w:cs="Arial"/>
          <w:b/>
          <w:sz w:val="24"/>
          <w:szCs w:val="24"/>
        </w:rPr>
        <w:t>Capacity and resources</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roofErr w:type="spellStart"/>
      <w:r w:rsidRPr="007B057B">
        <w:rPr>
          <w:rFonts w:ascii="Arial" w:eastAsia="Calibri" w:hAnsi="Arial" w:cs="Arial"/>
          <w:sz w:val="24"/>
          <w:szCs w:val="24"/>
        </w:rPr>
        <w:t>HelpAge</w:t>
      </w:r>
      <w:proofErr w:type="spellEnd"/>
      <w:r w:rsidRPr="007B057B">
        <w:rPr>
          <w:rFonts w:ascii="Arial" w:eastAsia="Calibri" w:hAnsi="Arial" w:cs="Arial"/>
          <w:sz w:val="24"/>
          <w:szCs w:val="24"/>
        </w:rPr>
        <w:t xml:space="preserve"> identified a lack of humanitarian field-based personnel with adequate experience of working with older men and women and a sense that this was seen as the work of specialists. There was a need to sensitise practitioners, policy makers and donors (e.g. the UN Consolidated Appeals Process) on ageing issues and the responsibility of humanitarian agencies to support all vulnerable groups, whilst providing practical tools to field personnel.</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r w:rsidRPr="007B057B">
        <w:rPr>
          <w:rFonts w:ascii="Arial" w:eastAsia="Calibri" w:hAnsi="Arial" w:cs="Arial"/>
          <w:b/>
          <w:sz w:val="24"/>
          <w:szCs w:val="24"/>
        </w:rPr>
        <w:t>2.2) Needs Assessment</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A review of current assessment methodologies identified an inadequate focus on assessing the needs of older men and women and other vulnerable groups which prevented more inclusive programme planning, design and implementation.</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b/>
          <w:sz w:val="24"/>
          <w:szCs w:val="24"/>
        </w:rPr>
      </w:pPr>
      <w:r w:rsidRPr="007B057B">
        <w:rPr>
          <w:rFonts w:ascii="Arial" w:eastAsia="Calibri" w:hAnsi="Arial" w:cs="Arial"/>
          <w:b/>
          <w:sz w:val="24"/>
          <w:szCs w:val="24"/>
        </w:rPr>
        <w:t>2.3) Coordination of clusters on integration of cross-cutting issues</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 xml:space="preserve">The IASC Cluster Evaluation, 2nd Phase, confirmed that the integration of cross-cutting issues in the activities of clusters and their members remained minimal in all case-study countries, with only some minor exceptions </w:t>
      </w:r>
      <w:r w:rsidRPr="007B057B">
        <w:rPr>
          <w:rFonts w:ascii="Arial" w:eastAsia="Calibri" w:hAnsi="Arial" w:cs="Arial"/>
          <w:i/>
          <w:iCs/>
          <w:sz w:val="24"/>
          <w:szCs w:val="24"/>
        </w:rPr>
        <w:t>(</w:t>
      </w:r>
      <w:r w:rsidRPr="007B057B">
        <w:rPr>
          <w:rFonts w:ascii="Arial" w:eastAsia="Calibri" w:hAnsi="Arial" w:cs="Arial"/>
          <w:sz w:val="24"/>
          <w:szCs w:val="24"/>
        </w:rPr>
        <w:t xml:space="preserve">April 2010, p 56). </w:t>
      </w: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p>
    <w:p w:rsidR="007B057B" w:rsidRPr="007B057B" w:rsidRDefault="007B057B" w:rsidP="007B057B">
      <w:pPr>
        <w:autoSpaceDE w:val="0"/>
        <w:autoSpaceDN w:val="0"/>
        <w:adjustRightInd w:val="0"/>
        <w:spacing w:after="0" w:line="240" w:lineRule="auto"/>
        <w:rPr>
          <w:rFonts w:ascii="Arial" w:eastAsia="Calibri" w:hAnsi="Arial" w:cs="Arial"/>
          <w:sz w:val="24"/>
          <w:szCs w:val="24"/>
        </w:rPr>
      </w:pPr>
      <w:r w:rsidRPr="007B057B">
        <w:rPr>
          <w:rFonts w:ascii="Arial" w:eastAsia="Calibri" w:hAnsi="Arial" w:cs="Arial"/>
          <w:sz w:val="24"/>
          <w:szCs w:val="24"/>
        </w:rPr>
        <w:t xml:space="preserve">The perception was reinforced by </w:t>
      </w:r>
      <w:proofErr w:type="spellStart"/>
      <w:r w:rsidRPr="007B057B">
        <w:rPr>
          <w:rFonts w:ascii="Arial" w:eastAsia="Calibri" w:hAnsi="Arial" w:cs="Arial"/>
          <w:sz w:val="24"/>
          <w:szCs w:val="24"/>
        </w:rPr>
        <w:t>HelpAge’s</w:t>
      </w:r>
      <w:proofErr w:type="spellEnd"/>
      <w:r w:rsidRPr="007B057B">
        <w:rPr>
          <w:rFonts w:ascii="Arial" w:eastAsia="Calibri" w:hAnsi="Arial" w:cs="Arial"/>
          <w:sz w:val="24"/>
          <w:szCs w:val="24"/>
        </w:rPr>
        <w:t xml:space="preserve"> review which recognised the need for advocacy and technical engagement with clusters to ensure their work included recognition of the needs of older men and women and other vulnerable groups. </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ab/>
        <w:t xml:space="preserve">  </w:t>
      </w:r>
    </w:p>
    <w:p w:rsidR="007B057B" w:rsidRPr="007B057B" w:rsidRDefault="007B057B" w:rsidP="007B057B">
      <w:pPr>
        <w:spacing w:after="0" w:line="240" w:lineRule="auto"/>
        <w:ind w:left="720"/>
        <w:rPr>
          <w:rFonts w:ascii="Arial" w:eastAsia="Calibri" w:hAnsi="Arial" w:cs="Arial"/>
          <w:sz w:val="24"/>
          <w:szCs w:val="24"/>
          <w:lang w:eastAsia="en-GB"/>
        </w:rPr>
      </w:pPr>
    </w:p>
    <w:p w:rsidR="007B057B" w:rsidRPr="007B057B" w:rsidRDefault="007B057B" w:rsidP="00493997">
      <w:pPr>
        <w:numPr>
          <w:ilvl w:val="0"/>
          <w:numId w:val="24"/>
        </w:numPr>
        <w:spacing w:after="0" w:line="240" w:lineRule="auto"/>
        <w:rPr>
          <w:rFonts w:ascii="Arial" w:eastAsia="Calibri" w:hAnsi="Arial" w:cs="Arial"/>
          <w:b/>
          <w:sz w:val="24"/>
          <w:szCs w:val="24"/>
          <w:lang w:eastAsia="en-GB"/>
        </w:rPr>
      </w:pPr>
      <w:r w:rsidRPr="007B057B">
        <w:rPr>
          <w:rFonts w:ascii="Arial" w:eastAsia="Calibri" w:hAnsi="Arial" w:cs="Arial"/>
          <w:b/>
          <w:sz w:val="24"/>
          <w:szCs w:val="24"/>
          <w:lang w:eastAsia="en-GB"/>
        </w:rPr>
        <w:t>PROPOSED RESULTS</w:t>
      </w:r>
    </w:p>
    <w:p w:rsidR="007B057B" w:rsidRPr="007B057B" w:rsidRDefault="007B057B" w:rsidP="007B057B">
      <w:pPr>
        <w:spacing w:after="0" w:line="240" w:lineRule="auto"/>
        <w:ind w:left="720"/>
        <w:rPr>
          <w:rFonts w:ascii="Arial" w:eastAsia="Calibri" w:hAnsi="Arial" w:cs="Arial"/>
          <w:b/>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As a result of the rationale outlined above,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designed a project intervention, (see Appendices 1 and 2) funded by ECHO for 18 months to address the above policy areas through the following activities. </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493997">
      <w:pPr>
        <w:numPr>
          <w:ilvl w:val="1"/>
          <w:numId w:val="21"/>
        </w:num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Sensitising 200 field staff and 80 senior HQ staff on ageing and disability through the development of its training programme Helping Older people in Emergencies (HOPE), and supporting the sensitisation of CAP staff on the specific needs of older people and other vulnerable groups.</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493997">
      <w:pPr>
        <w:numPr>
          <w:ilvl w:val="1"/>
          <w:numId w:val="21"/>
        </w:num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Producing three sets of Humanitarian Guidance on inclusion of older men and women in emergency health and livelihoods programming, and initial first-phase needs assessment. </w:t>
      </w:r>
    </w:p>
    <w:p w:rsidR="007B057B" w:rsidRPr="007B057B" w:rsidRDefault="007B057B" w:rsidP="007B057B">
      <w:pPr>
        <w:spacing w:after="0" w:line="240" w:lineRule="auto"/>
        <w:ind w:left="720"/>
        <w:rPr>
          <w:rFonts w:ascii="Arial" w:eastAsia="Calibri" w:hAnsi="Arial" w:cs="Arial"/>
          <w:sz w:val="24"/>
          <w:szCs w:val="24"/>
          <w:lang w:eastAsia="en-GB"/>
        </w:rPr>
      </w:pPr>
    </w:p>
    <w:p w:rsidR="007B057B" w:rsidRPr="007B057B" w:rsidRDefault="007B057B" w:rsidP="00493997">
      <w:pPr>
        <w:numPr>
          <w:ilvl w:val="1"/>
          <w:numId w:val="21"/>
        </w:num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Development of detailed policy and research publications on the effects of displacement on older men and women and the levels of humanitarian financing available to meet the needs of older people and people with disabilities. </w:t>
      </w:r>
    </w:p>
    <w:p w:rsidR="007B057B" w:rsidRPr="007B057B" w:rsidRDefault="007B057B" w:rsidP="007B057B">
      <w:pPr>
        <w:spacing w:after="0" w:line="240" w:lineRule="auto"/>
        <w:ind w:left="720"/>
        <w:rPr>
          <w:rFonts w:ascii="Arial" w:eastAsia="Calibri" w:hAnsi="Arial" w:cs="Arial"/>
          <w:sz w:val="24"/>
          <w:szCs w:val="24"/>
          <w:lang w:eastAsia="en-GB"/>
        </w:rPr>
      </w:pPr>
    </w:p>
    <w:p w:rsidR="007B057B" w:rsidRPr="007B057B" w:rsidRDefault="007B057B" w:rsidP="00493997">
      <w:pPr>
        <w:numPr>
          <w:ilvl w:val="1"/>
          <w:numId w:val="21"/>
        </w:num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Implementation of four field-based needs assessments which included the involvement of partners in the collection and analysis of data</w:t>
      </w:r>
    </w:p>
    <w:p w:rsidR="007B057B" w:rsidRPr="007B057B" w:rsidRDefault="007B057B" w:rsidP="007B057B">
      <w:pPr>
        <w:spacing w:after="0" w:line="240" w:lineRule="auto"/>
        <w:ind w:left="405"/>
        <w:rPr>
          <w:rFonts w:ascii="Arial" w:eastAsia="Calibri" w:hAnsi="Arial" w:cs="Arial"/>
          <w:sz w:val="24"/>
          <w:szCs w:val="24"/>
          <w:lang w:eastAsia="en-GB"/>
        </w:rPr>
      </w:pPr>
    </w:p>
    <w:p w:rsidR="007B057B" w:rsidRPr="007B057B" w:rsidRDefault="007B057B" w:rsidP="00493997">
      <w:pPr>
        <w:numPr>
          <w:ilvl w:val="1"/>
          <w:numId w:val="21"/>
        </w:num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Influencing work with two UN global clusters and other Geneva stakeholders to increase awareness and capacity around ageing concerns in emergencies.</w:t>
      </w:r>
      <w:r w:rsidRPr="007B057B" w:rsidDel="006C02A0">
        <w:rPr>
          <w:rFonts w:ascii="Arial" w:eastAsia="Calibri" w:hAnsi="Arial" w:cs="Arial"/>
          <w:sz w:val="24"/>
          <w:szCs w:val="24"/>
          <w:lang w:eastAsia="en-GB"/>
        </w:rPr>
        <w:t xml:space="preserve"> </w:t>
      </w:r>
    </w:p>
    <w:p w:rsidR="007B057B" w:rsidRPr="007B057B" w:rsidRDefault="007B057B" w:rsidP="007B057B">
      <w:pPr>
        <w:spacing w:after="0" w:line="240" w:lineRule="auto"/>
        <w:ind w:left="360"/>
        <w:rPr>
          <w:rFonts w:ascii="Arial" w:eastAsia="Calibri" w:hAnsi="Arial" w:cs="Arial"/>
          <w:b/>
          <w:sz w:val="24"/>
          <w:szCs w:val="24"/>
          <w:lang w:eastAsia="en-GB"/>
        </w:rPr>
      </w:pPr>
    </w:p>
    <w:p w:rsidR="007B057B" w:rsidRPr="007B057B" w:rsidRDefault="007B057B" w:rsidP="00493997">
      <w:pPr>
        <w:keepNext/>
        <w:numPr>
          <w:ilvl w:val="0"/>
          <w:numId w:val="24"/>
        </w:numPr>
        <w:spacing w:before="240" w:after="60" w:line="240" w:lineRule="auto"/>
        <w:outlineLvl w:val="1"/>
        <w:rPr>
          <w:rFonts w:ascii="Arial" w:eastAsia="Times New Roman" w:hAnsi="Arial" w:cs="Arial"/>
          <w:b/>
          <w:bCs/>
          <w:iCs/>
          <w:sz w:val="24"/>
          <w:szCs w:val="24"/>
        </w:rPr>
      </w:pPr>
      <w:bookmarkStart w:id="15" w:name="_Toc225765232"/>
      <w:bookmarkStart w:id="16" w:name="_Toc222487567"/>
      <w:bookmarkStart w:id="17" w:name="_Toc222488633"/>
      <w:bookmarkStart w:id="18" w:name="_Toc352225700"/>
      <w:bookmarkStart w:id="19" w:name="_Toc352225941"/>
      <w:r w:rsidRPr="007B057B">
        <w:rPr>
          <w:rFonts w:ascii="Arial" w:eastAsia="Times New Roman" w:hAnsi="Arial" w:cs="Arial"/>
          <w:b/>
          <w:bCs/>
          <w:iCs/>
          <w:sz w:val="24"/>
          <w:szCs w:val="24"/>
        </w:rPr>
        <w:t>SCOPE AND FOCUS:</w:t>
      </w:r>
      <w:bookmarkEnd w:id="18"/>
      <w:bookmarkEnd w:id="19"/>
      <w:r w:rsidRPr="007B057B">
        <w:rPr>
          <w:rFonts w:ascii="Arial" w:eastAsia="Times New Roman" w:hAnsi="Arial" w:cs="Arial"/>
          <w:b/>
          <w:bCs/>
          <w:iCs/>
          <w:sz w:val="24"/>
          <w:szCs w:val="24"/>
        </w:rPr>
        <w:t xml:space="preserve"> </w:t>
      </w:r>
      <w:bookmarkEnd w:id="15"/>
    </w:p>
    <w:p w:rsidR="007B057B" w:rsidRPr="007B057B" w:rsidRDefault="007B057B" w:rsidP="007B057B">
      <w:pPr>
        <w:keepNext/>
        <w:spacing w:before="240" w:after="60" w:line="240" w:lineRule="auto"/>
        <w:ind w:left="360"/>
        <w:outlineLvl w:val="1"/>
        <w:rPr>
          <w:rFonts w:ascii="Arial" w:eastAsia="Times New Roman" w:hAnsi="Arial" w:cs="Arial"/>
          <w:b/>
          <w:bCs/>
          <w:iCs/>
          <w:sz w:val="24"/>
          <w:szCs w:val="24"/>
        </w:rPr>
      </w:pPr>
      <w:bookmarkStart w:id="20" w:name="_Toc352225701"/>
      <w:bookmarkStart w:id="21" w:name="_Toc352225942"/>
      <w:r w:rsidRPr="007B057B">
        <w:rPr>
          <w:rFonts w:ascii="Arial" w:eastAsia="Times New Roman" w:hAnsi="Arial" w:cs="Arial"/>
          <w:b/>
          <w:bCs/>
          <w:i/>
          <w:iCs/>
          <w:sz w:val="24"/>
          <w:szCs w:val="24"/>
        </w:rPr>
        <w:t>To what degree has the policy and practice of assisting older persons more effectively in the international humanitarian system and its interventions, been advanced as a result of the action.</w:t>
      </w:r>
      <w:bookmarkEnd w:id="20"/>
      <w:bookmarkEnd w:id="21"/>
    </w:p>
    <w:p w:rsidR="007B057B" w:rsidRPr="007B057B" w:rsidRDefault="007B057B" w:rsidP="007B057B">
      <w:pPr>
        <w:keepNext/>
        <w:spacing w:before="240" w:after="60" w:line="240" w:lineRule="auto"/>
        <w:outlineLvl w:val="1"/>
        <w:rPr>
          <w:rFonts w:ascii="Arial" w:eastAsia="Times New Roman" w:hAnsi="Arial" w:cs="Arial"/>
          <w:bCs/>
          <w:iCs/>
          <w:sz w:val="24"/>
          <w:szCs w:val="24"/>
        </w:rPr>
      </w:pPr>
      <w:bookmarkStart w:id="22" w:name="_Toc352225702"/>
      <w:bookmarkStart w:id="23" w:name="_Toc352225943"/>
      <w:r w:rsidRPr="007B057B">
        <w:rPr>
          <w:rFonts w:ascii="Arial" w:eastAsia="Times New Roman" w:hAnsi="Arial" w:cs="Arial"/>
          <w:bCs/>
          <w:iCs/>
          <w:sz w:val="24"/>
          <w:szCs w:val="24"/>
        </w:rPr>
        <w:t>Because the result areas fall into three distinct areas of capacity building, guidance development and advocacy, the consultant will examine the following key questions in the context of the three result areas listed in the project proposal.</w:t>
      </w:r>
      <w:bookmarkEnd w:id="22"/>
      <w:bookmarkEnd w:id="23"/>
      <w:r w:rsidRPr="007B057B">
        <w:rPr>
          <w:rFonts w:ascii="Arial" w:eastAsia="Times New Roman" w:hAnsi="Arial" w:cs="Arial"/>
          <w:bCs/>
          <w:iCs/>
          <w:sz w:val="24"/>
          <w:szCs w:val="24"/>
        </w:rPr>
        <w:t xml:space="preserve"> </w:t>
      </w:r>
    </w:p>
    <w:p w:rsidR="007B057B" w:rsidRPr="007B057B" w:rsidRDefault="007B057B" w:rsidP="007B057B">
      <w:pPr>
        <w:keepNext/>
        <w:spacing w:before="240" w:after="60" w:line="240" w:lineRule="auto"/>
        <w:outlineLvl w:val="1"/>
        <w:rPr>
          <w:rFonts w:ascii="Arial" w:eastAsia="Times New Roman" w:hAnsi="Arial" w:cs="Arial"/>
          <w:bCs/>
          <w:iCs/>
          <w:sz w:val="24"/>
          <w:szCs w:val="24"/>
        </w:rPr>
      </w:pPr>
      <w:bookmarkStart w:id="24" w:name="_Toc352225703"/>
      <w:bookmarkStart w:id="25" w:name="_Toc352225944"/>
      <w:r w:rsidRPr="007B057B">
        <w:rPr>
          <w:rFonts w:ascii="Arial" w:eastAsia="Times New Roman" w:hAnsi="Arial" w:cs="Arial"/>
          <w:bCs/>
          <w:iCs/>
          <w:sz w:val="24"/>
          <w:szCs w:val="24"/>
        </w:rPr>
        <w:t>The following results, activities and outcomes should be assessed from the perspective of the OECD Development Assistance Committee (DAC) criteria for their relevance, effectiveness, efficiency, impact and sustainability as well as additional criteria listed below.</w:t>
      </w:r>
      <w:bookmarkEnd w:id="24"/>
      <w:bookmarkEnd w:id="25"/>
      <w:r w:rsidRPr="007B057B">
        <w:rPr>
          <w:rFonts w:ascii="Arial" w:eastAsia="Times New Roman" w:hAnsi="Arial" w:cs="Arial"/>
          <w:bCs/>
          <w:iCs/>
          <w:sz w:val="24"/>
          <w:szCs w:val="24"/>
        </w:rPr>
        <w:t xml:space="preserve">     </w:t>
      </w:r>
    </w:p>
    <w:p w:rsidR="007B057B" w:rsidRPr="007B057B" w:rsidRDefault="007B057B" w:rsidP="007B057B">
      <w:pPr>
        <w:spacing w:after="0" w:line="240" w:lineRule="auto"/>
        <w:rPr>
          <w:rFonts w:ascii="Arial" w:eastAsia="Calibri" w:hAnsi="Arial" w:cs="Arial"/>
          <w:sz w:val="24"/>
          <w:szCs w:val="24"/>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4.1) </w:t>
      </w:r>
      <w:r w:rsidRPr="007B057B">
        <w:rPr>
          <w:rFonts w:ascii="Arial" w:eastAsia="Calibri" w:hAnsi="Arial" w:cs="Arial"/>
          <w:b/>
          <w:sz w:val="24"/>
          <w:szCs w:val="24"/>
          <w:lang w:eastAsia="en-GB"/>
        </w:rPr>
        <w:t>RESULT AREA ONE</w:t>
      </w: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Over 200 field staff and 80 senior HQ staff trained on ageing and disability through the development of the “Helping Older people in Emergencies (HOPE)” training course held in nine international locations. Training materials developed for, and delivered to, CAP staff</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Q To what degree has the training activity initiated and implemented by </w:t>
      </w:r>
      <w:proofErr w:type="spellStart"/>
      <w:r w:rsidRPr="007B057B">
        <w:rPr>
          <w:rFonts w:ascii="Arial" w:eastAsia="Calibri" w:hAnsi="Arial" w:cs="Arial"/>
          <w:i/>
          <w:sz w:val="24"/>
          <w:szCs w:val="24"/>
          <w:lang w:eastAsia="en-GB"/>
        </w:rPr>
        <w:t>HelpAge</w:t>
      </w:r>
      <w:proofErr w:type="spellEnd"/>
      <w:r w:rsidRPr="007B057B">
        <w:rPr>
          <w:rFonts w:ascii="Arial" w:eastAsia="Calibri" w:hAnsi="Arial" w:cs="Arial"/>
          <w:i/>
          <w:sz w:val="24"/>
          <w:szCs w:val="24"/>
          <w:lang w:eastAsia="en-GB"/>
        </w:rPr>
        <w:t xml:space="preserve"> enhanced participants’ understanding of the needs of older men and women and other vulnerable groups in emergencies? </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proofErr w:type="spellStart"/>
      <w:r w:rsidRPr="007B057B">
        <w:rPr>
          <w:rFonts w:ascii="Arial" w:eastAsia="Calibri" w:hAnsi="Arial" w:cs="Arial"/>
          <w:i/>
          <w:sz w:val="24"/>
          <w:szCs w:val="24"/>
          <w:lang w:eastAsia="en-GB"/>
        </w:rPr>
        <w:t>QTo</w:t>
      </w:r>
      <w:proofErr w:type="spellEnd"/>
      <w:r w:rsidRPr="007B057B">
        <w:rPr>
          <w:rFonts w:ascii="Arial" w:eastAsia="Calibri" w:hAnsi="Arial" w:cs="Arial"/>
          <w:i/>
          <w:sz w:val="24"/>
          <w:szCs w:val="24"/>
          <w:lang w:eastAsia="en-GB"/>
        </w:rPr>
        <w:t xml:space="preserve"> what extent has it led to changes in practice to ensure the inclusion of older people and other vulnerable groups in programme planning and design? </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Does evidence show that programme changes were introduced as a result of people being trained?</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i/>
          <w:sz w:val="24"/>
          <w:szCs w:val="24"/>
          <w:lang w:eastAsia="en-GB"/>
        </w:rPr>
        <w:t xml:space="preserve">Q In what ways have CAP staff responded to training materials provided by </w:t>
      </w:r>
      <w:proofErr w:type="spellStart"/>
      <w:r w:rsidRPr="007B057B">
        <w:rPr>
          <w:rFonts w:ascii="Arial" w:eastAsia="Calibri" w:hAnsi="Arial" w:cs="Arial"/>
          <w:i/>
          <w:sz w:val="24"/>
          <w:szCs w:val="24"/>
          <w:lang w:eastAsia="en-GB"/>
        </w:rPr>
        <w:t>HelpAge</w:t>
      </w:r>
      <w:proofErr w:type="spellEnd"/>
      <w:r w:rsidRPr="007B057B">
        <w:rPr>
          <w:rFonts w:ascii="Arial" w:eastAsia="Calibri" w:hAnsi="Arial" w:cs="Arial"/>
          <w:i/>
          <w:sz w:val="24"/>
          <w:szCs w:val="24"/>
          <w:lang w:eastAsia="en-GB"/>
        </w:rPr>
        <w:t xml:space="preserve"> staff?  </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493997">
      <w:pPr>
        <w:numPr>
          <w:ilvl w:val="1"/>
          <w:numId w:val="25"/>
        </w:numPr>
        <w:spacing w:after="0" w:line="240" w:lineRule="auto"/>
        <w:rPr>
          <w:rFonts w:ascii="Arial" w:eastAsia="Calibri" w:hAnsi="Arial" w:cs="Arial"/>
          <w:b/>
          <w:sz w:val="24"/>
          <w:szCs w:val="24"/>
          <w:lang w:eastAsia="en-GB"/>
        </w:rPr>
      </w:pPr>
      <w:r w:rsidRPr="007B057B">
        <w:rPr>
          <w:rFonts w:ascii="Arial" w:eastAsia="Calibri" w:hAnsi="Arial" w:cs="Arial"/>
          <w:b/>
          <w:sz w:val="24"/>
          <w:szCs w:val="24"/>
          <w:lang w:eastAsia="en-GB"/>
        </w:rPr>
        <w:t>RESULT AREA TWO</w:t>
      </w: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Three sets of Humanitarian Guidance on Ageing and Health, Livelihoods and Needs Assessment produced. Detailed policy publications on older people and displacement and humanitarian financing and vulnerable groups published. </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To what extent do the three Humanitarian Guidance documents provide effective tools for strengthening the inclusion of older persons and other vulnerable groups in humanitarian action at both the global policy and the field level.</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To what extent have such tools been used or are currently being integrated into the policy and practice of major humanitarian agencies?</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Q To what extent does the needs assessment methodology produced by </w:t>
      </w:r>
      <w:proofErr w:type="spellStart"/>
      <w:r w:rsidRPr="007B057B">
        <w:rPr>
          <w:rFonts w:ascii="Arial" w:eastAsia="Calibri" w:hAnsi="Arial" w:cs="Arial"/>
          <w:i/>
          <w:sz w:val="24"/>
          <w:szCs w:val="24"/>
          <w:lang w:eastAsia="en-GB"/>
        </w:rPr>
        <w:t>HelpAge</w:t>
      </w:r>
      <w:proofErr w:type="spellEnd"/>
      <w:r w:rsidRPr="007B057B">
        <w:rPr>
          <w:rFonts w:ascii="Arial" w:eastAsia="Calibri" w:hAnsi="Arial" w:cs="Arial"/>
          <w:i/>
          <w:sz w:val="24"/>
          <w:szCs w:val="24"/>
          <w:lang w:eastAsia="en-GB"/>
        </w:rPr>
        <w:t xml:space="preserve"> </w:t>
      </w:r>
      <w:proofErr w:type="gramStart"/>
      <w:r w:rsidRPr="007B057B">
        <w:rPr>
          <w:rFonts w:ascii="Arial" w:eastAsia="Calibri" w:hAnsi="Arial" w:cs="Arial"/>
          <w:i/>
          <w:sz w:val="24"/>
          <w:szCs w:val="24"/>
          <w:lang w:eastAsia="en-GB"/>
        </w:rPr>
        <w:t>provide</w:t>
      </w:r>
      <w:proofErr w:type="gramEnd"/>
      <w:r w:rsidRPr="007B057B">
        <w:rPr>
          <w:rFonts w:ascii="Arial" w:eastAsia="Calibri" w:hAnsi="Arial" w:cs="Arial"/>
          <w:i/>
          <w:sz w:val="24"/>
          <w:szCs w:val="24"/>
          <w:lang w:eastAsia="en-GB"/>
        </w:rPr>
        <w:t xml:space="preserve"> effective tools to identify and include older men and women in the first phase of an emergency?</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In the four field sites where needs assessment and needs assessment training took place, what evidence is available of changes in policy and practice among humanitarian agencies as a result of the action?</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Q Does </w:t>
      </w:r>
      <w:proofErr w:type="spellStart"/>
      <w:r w:rsidRPr="007B057B">
        <w:rPr>
          <w:rFonts w:ascii="Arial" w:eastAsia="Calibri" w:hAnsi="Arial" w:cs="Arial"/>
          <w:i/>
          <w:sz w:val="24"/>
          <w:szCs w:val="24"/>
          <w:lang w:eastAsia="en-GB"/>
        </w:rPr>
        <w:t>HelpAge’s</w:t>
      </w:r>
      <w:proofErr w:type="spellEnd"/>
      <w:r w:rsidRPr="007B057B">
        <w:rPr>
          <w:rFonts w:ascii="Arial" w:eastAsia="Calibri" w:hAnsi="Arial" w:cs="Arial"/>
          <w:i/>
          <w:sz w:val="24"/>
          <w:szCs w:val="24"/>
          <w:lang w:eastAsia="en-GB"/>
        </w:rPr>
        <w:t xml:space="preserve"> data disaggregation methodology utilised in the needs assessment guidance represent a qualitative step forward in identifying the needs of older men and women and other vulnerable groups in emergencies?     </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   </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Q What is the discernible impact and influence of the two </w:t>
      </w:r>
      <w:proofErr w:type="spellStart"/>
      <w:r w:rsidRPr="007B057B">
        <w:rPr>
          <w:rFonts w:ascii="Arial" w:eastAsia="Calibri" w:hAnsi="Arial" w:cs="Arial"/>
          <w:i/>
          <w:sz w:val="24"/>
          <w:szCs w:val="24"/>
          <w:lang w:eastAsia="en-GB"/>
        </w:rPr>
        <w:t>HelpAge</w:t>
      </w:r>
      <w:proofErr w:type="spellEnd"/>
      <w:r w:rsidRPr="007B057B">
        <w:rPr>
          <w:rFonts w:ascii="Arial" w:eastAsia="Calibri" w:hAnsi="Arial" w:cs="Arial"/>
          <w:i/>
          <w:sz w:val="24"/>
          <w:szCs w:val="24"/>
          <w:lang w:eastAsia="en-GB"/>
        </w:rPr>
        <w:t xml:space="preserve"> Policy reports on ageing and displacement and humanitarian financing for older men and women and men and women with disabilities on current humanitarian policy and practice? </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493997">
      <w:pPr>
        <w:numPr>
          <w:ilvl w:val="1"/>
          <w:numId w:val="25"/>
        </w:numPr>
        <w:spacing w:after="0" w:line="240" w:lineRule="auto"/>
        <w:rPr>
          <w:rFonts w:ascii="Arial" w:eastAsia="Calibri" w:hAnsi="Arial" w:cs="Arial"/>
          <w:b/>
          <w:sz w:val="24"/>
          <w:szCs w:val="24"/>
          <w:lang w:eastAsia="en-GB"/>
        </w:rPr>
      </w:pPr>
      <w:r w:rsidRPr="007B057B">
        <w:rPr>
          <w:rFonts w:ascii="Arial" w:eastAsia="Calibri" w:hAnsi="Arial" w:cs="Arial"/>
          <w:b/>
          <w:sz w:val="24"/>
          <w:szCs w:val="24"/>
          <w:lang w:eastAsia="en-GB"/>
        </w:rPr>
        <w:t>RESULT AREA THREE</w:t>
      </w: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Global policy and advocacy work developed with two UN global clusters to support their capacity to mainstream age-related issues.</w:t>
      </w:r>
    </w:p>
    <w:p w:rsidR="007B057B" w:rsidRPr="007B057B" w:rsidRDefault="007B057B" w:rsidP="007B057B">
      <w:pPr>
        <w:spacing w:after="0" w:line="240" w:lineRule="auto"/>
        <w:ind w:left="360"/>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Is ageing more visible today in the humanitarian policy environment as a product of the influencing activity?</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 </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What are the main global policy changes produced by the influencing activity?</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Q Was policy concerning ageing converted into cluster/sector-specific technical guidelines? </w:t>
      </w:r>
    </w:p>
    <w:p w:rsidR="007B057B" w:rsidRPr="007B057B" w:rsidRDefault="007B057B" w:rsidP="007B057B">
      <w:pPr>
        <w:spacing w:after="0" w:line="240" w:lineRule="auto"/>
        <w:rPr>
          <w:rFonts w:ascii="Arial" w:eastAsia="Calibri" w:hAnsi="Arial" w:cs="Arial"/>
          <w:i/>
          <w:sz w:val="24"/>
          <w:szCs w:val="24"/>
          <w:lang w:eastAsia="en-GB"/>
        </w:rPr>
      </w:pP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Did this inform cluster/sector-specific training?</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 </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Q Did this inform specific tools or mechanisms?</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 </w:t>
      </w:r>
    </w:p>
    <w:p w:rsidR="007B057B" w:rsidRPr="007B057B" w:rsidRDefault="007B057B" w:rsidP="007B057B">
      <w:pPr>
        <w:spacing w:after="0" w:line="240" w:lineRule="auto"/>
        <w:rPr>
          <w:rFonts w:ascii="Arial" w:eastAsia="Calibri" w:hAnsi="Arial" w:cs="Arial"/>
          <w:i/>
          <w:sz w:val="24"/>
          <w:szCs w:val="24"/>
          <w:lang w:eastAsia="en-GB"/>
        </w:rPr>
      </w:pPr>
      <w:r w:rsidRPr="007B057B">
        <w:rPr>
          <w:rFonts w:ascii="Arial" w:eastAsia="Calibri" w:hAnsi="Arial" w:cs="Arial"/>
          <w:i/>
          <w:sz w:val="24"/>
          <w:szCs w:val="24"/>
          <w:lang w:eastAsia="en-GB"/>
        </w:rPr>
        <w:t xml:space="preserve">Q Is there any evidence that the influencing activity produced changes in practices? </w:t>
      </w:r>
    </w:p>
    <w:p w:rsidR="007B057B" w:rsidRPr="007B057B" w:rsidRDefault="007B057B" w:rsidP="007B057B">
      <w:pPr>
        <w:autoSpaceDE w:val="0"/>
        <w:autoSpaceDN w:val="0"/>
        <w:adjustRightInd w:val="0"/>
        <w:spacing w:after="0" w:line="240" w:lineRule="auto"/>
        <w:rPr>
          <w:rFonts w:ascii="Arial" w:eastAsia="Calibri" w:hAnsi="Arial" w:cs="Arial"/>
          <w:i/>
          <w:sz w:val="24"/>
          <w:szCs w:val="24"/>
          <w:lang w:eastAsia="en-GB"/>
        </w:rPr>
      </w:pPr>
    </w:p>
    <w:p w:rsidR="007B057B" w:rsidRPr="007B057B" w:rsidRDefault="007B057B" w:rsidP="007B057B">
      <w:pPr>
        <w:autoSpaceDE w:val="0"/>
        <w:autoSpaceDN w:val="0"/>
        <w:adjustRightInd w:val="0"/>
        <w:spacing w:after="0" w:line="240" w:lineRule="auto"/>
        <w:rPr>
          <w:rFonts w:ascii="Arial" w:eastAsia="Calibri" w:hAnsi="Arial" w:cs="Arial"/>
          <w:i/>
          <w:sz w:val="24"/>
          <w:szCs w:val="24"/>
          <w:lang w:eastAsia="en-GB"/>
        </w:rPr>
      </w:pPr>
    </w:p>
    <w:p w:rsidR="007B057B" w:rsidRPr="007B057B" w:rsidRDefault="007B057B" w:rsidP="00493997">
      <w:pPr>
        <w:numPr>
          <w:ilvl w:val="1"/>
          <w:numId w:val="25"/>
        </w:numPr>
        <w:spacing w:after="0" w:line="240" w:lineRule="auto"/>
        <w:rPr>
          <w:rFonts w:ascii="Arial" w:eastAsia="Calibri" w:hAnsi="Arial" w:cs="Arial"/>
          <w:b/>
          <w:i/>
          <w:sz w:val="24"/>
          <w:szCs w:val="24"/>
          <w:lang w:eastAsia="en-GB"/>
        </w:rPr>
      </w:pPr>
      <w:r w:rsidRPr="007B057B">
        <w:rPr>
          <w:rFonts w:ascii="Arial" w:eastAsia="Calibri" w:hAnsi="Arial" w:cs="Arial"/>
          <w:b/>
          <w:sz w:val="24"/>
          <w:szCs w:val="24"/>
          <w:lang w:eastAsia="en-GB"/>
        </w:rPr>
        <w:t xml:space="preserve">STAKEHOLDERS </w:t>
      </w:r>
    </w:p>
    <w:p w:rsidR="007B057B" w:rsidRPr="007B057B" w:rsidRDefault="007B057B" w:rsidP="007B057B">
      <w:pPr>
        <w:spacing w:after="0" w:line="240" w:lineRule="auto"/>
        <w:rPr>
          <w:rFonts w:ascii="Arial" w:eastAsia="Calibri" w:hAnsi="Arial" w:cs="Arial"/>
          <w:color w:val="000000"/>
          <w:sz w:val="24"/>
          <w:szCs w:val="24"/>
          <w:lang w:eastAsia="en-GB"/>
        </w:rPr>
      </w:pPr>
      <w:r w:rsidRPr="007B057B">
        <w:rPr>
          <w:rFonts w:ascii="Arial" w:eastAsia="Calibri" w:hAnsi="Arial" w:cs="Arial"/>
          <w:sz w:val="24"/>
          <w:szCs w:val="24"/>
          <w:lang w:eastAsia="en-GB"/>
        </w:rPr>
        <w:t xml:space="preserve">Each area of work includes a range of unique and sometimes overlapping stakeholders. Working with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the consultant will need to establish a list of stakeholders for each area. However as a guide, the following groups have been closely involved with the project implementation.</w:t>
      </w:r>
    </w:p>
    <w:p w:rsidR="007B057B" w:rsidRPr="007B057B" w:rsidRDefault="007B057B" w:rsidP="007B057B">
      <w:pPr>
        <w:spacing w:after="0" w:line="240" w:lineRule="auto"/>
        <w:rPr>
          <w:rFonts w:ascii="Arial" w:eastAsia="Calibri" w:hAnsi="Arial" w:cs="Arial"/>
          <w:color w:val="000000"/>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UNHCR, IASC Secretariat, Sub-Working Group on Gender, GBV </w:t>
      </w:r>
      <w:proofErr w:type="spellStart"/>
      <w:r w:rsidRPr="007B057B">
        <w:rPr>
          <w:rFonts w:ascii="Arial" w:eastAsia="Calibri" w:hAnsi="Arial" w:cs="Arial"/>
          <w:sz w:val="24"/>
          <w:szCs w:val="24"/>
          <w:lang w:eastAsia="en-GB"/>
        </w:rPr>
        <w:t>AoR</w:t>
      </w:r>
      <w:proofErr w:type="spellEnd"/>
      <w:r w:rsidRPr="007B057B">
        <w:rPr>
          <w:rFonts w:ascii="Arial" w:eastAsia="Calibri" w:hAnsi="Arial" w:cs="Arial"/>
          <w:sz w:val="24"/>
          <w:szCs w:val="24"/>
          <w:lang w:eastAsia="en-GB"/>
        </w:rPr>
        <w:t xml:space="preserve">, OCHA, Consolidated Appeals Section, GENCAP, PROCAP, WFP Global Food Security Cluster, International Displacement Monitoring Centre, WHO Global Health Cluster, IASC Needs Assessment Task Force,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programmes and partners who have taken part in HOPE training and training of trainers. </w:t>
      </w:r>
    </w:p>
    <w:p w:rsidR="007B057B" w:rsidRPr="007B057B" w:rsidRDefault="007B057B" w:rsidP="007B057B">
      <w:pPr>
        <w:autoSpaceDE w:val="0"/>
        <w:autoSpaceDN w:val="0"/>
        <w:adjustRightInd w:val="0"/>
        <w:spacing w:after="0" w:line="240" w:lineRule="auto"/>
        <w:rPr>
          <w:rFonts w:ascii="Arial" w:eastAsia="Calibri" w:hAnsi="Arial" w:cs="Arial"/>
          <w:color w:val="000000"/>
          <w:sz w:val="24"/>
          <w:szCs w:val="24"/>
          <w:lang w:eastAsia="en-GB"/>
        </w:rPr>
      </w:pPr>
    </w:p>
    <w:bookmarkEnd w:id="16"/>
    <w:bookmarkEnd w:id="17"/>
    <w:p w:rsidR="007B057B" w:rsidRPr="007B057B" w:rsidRDefault="007B057B" w:rsidP="007B057B">
      <w:pPr>
        <w:autoSpaceDE w:val="0"/>
        <w:autoSpaceDN w:val="0"/>
        <w:adjustRightInd w:val="0"/>
        <w:spacing w:after="0" w:line="240" w:lineRule="auto"/>
        <w:rPr>
          <w:rFonts w:ascii="Arial" w:eastAsia="Calibri" w:hAnsi="Arial" w:cs="Arial"/>
          <w:b/>
          <w:color w:val="000000"/>
          <w:sz w:val="24"/>
          <w:szCs w:val="24"/>
          <w:lang w:eastAsia="en-GB"/>
        </w:rPr>
      </w:pPr>
    </w:p>
    <w:p w:rsidR="007B057B" w:rsidRPr="007B057B" w:rsidRDefault="007B057B" w:rsidP="007B057B">
      <w:pPr>
        <w:autoSpaceDE w:val="0"/>
        <w:autoSpaceDN w:val="0"/>
        <w:adjustRightInd w:val="0"/>
        <w:spacing w:after="0" w:line="240" w:lineRule="auto"/>
        <w:rPr>
          <w:rFonts w:ascii="Arial" w:eastAsia="Calibri" w:hAnsi="Arial" w:cs="Arial"/>
          <w:b/>
          <w:color w:val="000000"/>
          <w:sz w:val="24"/>
          <w:szCs w:val="24"/>
          <w:lang w:eastAsia="en-GB"/>
        </w:rPr>
      </w:pPr>
    </w:p>
    <w:p w:rsidR="007B057B" w:rsidRPr="007B057B" w:rsidRDefault="007B057B" w:rsidP="00493997">
      <w:pPr>
        <w:numPr>
          <w:ilvl w:val="0"/>
          <w:numId w:val="24"/>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b/>
          <w:color w:val="000000"/>
          <w:sz w:val="24"/>
          <w:szCs w:val="24"/>
          <w:lang w:eastAsia="en-GB"/>
        </w:rPr>
        <w:t>ADDITIONAL CRITERIA</w:t>
      </w:r>
    </w:p>
    <w:p w:rsidR="007B057B" w:rsidRPr="007B057B" w:rsidRDefault="007B057B" w:rsidP="007B057B">
      <w:p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color w:val="000000"/>
          <w:sz w:val="24"/>
          <w:szCs w:val="24"/>
          <w:lang w:eastAsia="en-GB"/>
        </w:rPr>
        <w:t xml:space="preserve">The evaluation should also provide an assessment of </w:t>
      </w:r>
      <w:proofErr w:type="spellStart"/>
      <w:r w:rsidRPr="007B057B">
        <w:rPr>
          <w:rFonts w:ascii="Arial" w:eastAsia="Calibri" w:hAnsi="Arial" w:cs="Arial"/>
          <w:color w:val="000000"/>
          <w:sz w:val="24"/>
          <w:szCs w:val="24"/>
          <w:lang w:eastAsia="en-GB"/>
        </w:rPr>
        <w:t>HelpAge’s</w:t>
      </w:r>
      <w:proofErr w:type="spellEnd"/>
      <w:r w:rsidRPr="007B057B">
        <w:rPr>
          <w:rFonts w:ascii="Arial" w:eastAsia="Calibri" w:hAnsi="Arial" w:cs="Arial"/>
          <w:color w:val="000000"/>
          <w:sz w:val="24"/>
          <w:szCs w:val="24"/>
          <w:lang w:eastAsia="en-GB"/>
        </w:rPr>
        <w:t xml:space="preserve"> role and influence in advocating for the inclusion of older people within the policy and practice of external partners, drawing on the responses of the major stakeholders and other relevant actors.</w:t>
      </w:r>
      <w:r w:rsidRPr="007B057B">
        <w:rPr>
          <w:rFonts w:ascii="Arial" w:eastAsia="Calibri" w:hAnsi="Arial" w:cs="Arial"/>
          <w:sz w:val="24"/>
          <w:szCs w:val="24"/>
          <w:lang w:eastAsia="en-GB"/>
        </w:rPr>
        <w:t xml:space="preserve"> </w:t>
      </w:r>
    </w:p>
    <w:p w:rsidR="007B057B" w:rsidRPr="007B057B" w:rsidRDefault="007B057B" w:rsidP="007B057B">
      <w:pPr>
        <w:autoSpaceDE w:val="0"/>
        <w:autoSpaceDN w:val="0"/>
        <w:adjustRightInd w:val="0"/>
        <w:spacing w:after="0" w:line="240" w:lineRule="auto"/>
        <w:rPr>
          <w:rFonts w:ascii="Arial" w:eastAsia="Calibri" w:hAnsi="Arial" w:cs="Arial"/>
          <w:sz w:val="24"/>
          <w:szCs w:val="24"/>
          <w:lang w:eastAsia="en-GB"/>
        </w:rPr>
      </w:pPr>
    </w:p>
    <w:p w:rsidR="007B057B" w:rsidRPr="007B057B" w:rsidRDefault="007B057B" w:rsidP="007B057B">
      <w:p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color w:val="000000"/>
          <w:sz w:val="24"/>
          <w:szCs w:val="24"/>
          <w:lang w:eastAsia="en-GB"/>
        </w:rPr>
        <w:t xml:space="preserve">5.1) The evaluator should also identify any lessons and good practices and opportunities created by the project activities that could be further pursued by </w:t>
      </w:r>
      <w:proofErr w:type="spellStart"/>
      <w:r w:rsidRPr="007B057B">
        <w:rPr>
          <w:rFonts w:ascii="Arial" w:eastAsia="Calibri" w:hAnsi="Arial" w:cs="Arial"/>
          <w:color w:val="000000"/>
          <w:sz w:val="24"/>
          <w:szCs w:val="24"/>
          <w:lang w:eastAsia="en-GB"/>
        </w:rPr>
        <w:t>HelpAge</w:t>
      </w:r>
      <w:proofErr w:type="spellEnd"/>
      <w:r w:rsidRPr="007B057B">
        <w:rPr>
          <w:rFonts w:ascii="Arial" w:eastAsia="Calibri" w:hAnsi="Arial" w:cs="Arial"/>
          <w:color w:val="000000"/>
          <w:sz w:val="24"/>
          <w:szCs w:val="24"/>
          <w:lang w:eastAsia="en-GB"/>
        </w:rPr>
        <w:t xml:space="preserve"> to contribute to the inclusion of older persons in humanitarian assessment and action. </w:t>
      </w:r>
    </w:p>
    <w:p w:rsidR="007B057B" w:rsidRPr="007B057B" w:rsidRDefault="007B057B" w:rsidP="00493997">
      <w:pPr>
        <w:keepNext/>
        <w:numPr>
          <w:ilvl w:val="0"/>
          <w:numId w:val="23"/>
        </w:numPr>
        <w:spacing w:before="240" w:after="60" w:line="240" w:lineRule="auto"/>
        <w:outlineLvl w:val="1"/>
        <w:rPr>
          <w:rFonts w:ascii="Arial" w:eastAsia="Times New Roman" w:hAnsi="Arial" w:cs="Arial"/>
          <w:b/>
          <w:bCs/>
          <w:iCs/>
          <w:sz w:val="24"/>
          <w:szCs w:val="24"/>
        </w:rPr>
      </w:pPr>
      <w:bookmarkStart w:id="26" w:name="_Toc352225704"/>
      <w:bookmarkStart w:id="27" w:name="_Toc352225945"/>
      <w:r w:rsidRPr="007B057B">
        <w:rPr>
          <w:rFonts w:ascii="Arial" w:eastAsia="Times New Roman" w:hAnsi="Arial" w:cs="Arial"/>
          <w:b/>
          <w:bCs/>
          <w:iCs/>
          <w:sz w:val="24"/>
          <w:szCs w:val="24"/>
        </w:rPr>
        <w:t>EVALUATION PROCESS AND METHODOLOGY</w:t>
      </w:r>
      <w:bookmarkEnd w:id="26"/>
      <w:bookmarkEnd w:id="27"/>
    </w:p>
    <w:p w:rsidR="007B057B" w:rsidRPr="007B057B" w:rsidRDefault="007B057B" w:rsidP="007B057B">
      <w:pPr>
        <w:spacing w:after="0" w:line="240" w:lineRule="auto"/>
        <w:jc w:val="both"/>
        <w:rPr>
          <w:rFonts w:ascii="Arial" w:eastAsia="Calibri" w:hAnsi="Arial" w:cs="Arial"/>
          <w:sz w:val="24"/>
          <w:szCs w:val="24"/>
          <w:lang w:eastAsia="en-GB"/>
        </w:rPr>
      </w:pPr>
    </w:p>
    <w:p w:rsidR="007B057B" w:rsidRPr="007B057B" w:rsidRDefault="007B057B" w:rsidP="007B057B">
      <w:p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 xml:space="preserve">6.1) </w:t>
      </w:r>
      <w:r w:rsidRPr="007B057B">
        <w:rPr>
          <w:rFonts w:ascii="Arial" w:eastAsia="Calibri" w:hAnsi="Arial" w:cs="Arial"/>
          <w:b/>
          <w:sz w:val="24"/>
          <w:szCs w:val="24"/>
          <w:lang w:eastAsia="en-GB"/>
        </w:rPr>
        <w:t xml:space="preserve">Documentation review: </w:t>
      </w:r>
    </w:p>
    <w:p w:rsidR="007B057B" w:rsidRPr="007B057B" w:rsidRDefault="007B057B" w:rsidP="007B057B">
      <w:pPr>
        <w:spacing w:after="0" w:line="240" w:lineRule="auto"/>
        <w:jc w:val="both"/>
        <w:rPr>
          <w:rFonts w:ascii="Arial" w:eastAsia="Calibri" w:hAnsi="Arial" w:cs="Arial"/>
          <w:sz w:val="24"/>
          <w:szCs w:val="24"/>
          <w:lang w:eastAsia="en-GB"/>
        </w:rPr>
      </w:pPr>
    </w:p>
    <w:p w:rsidR="007B057B" w:rsidRPr="007B057B" w:rsidRDefault="007B057B" w:rsidP="00493997">
      <w:pPr>
        <w:numPr>
          <w:ilvl w:val="0"/>
          <w:numId w:val="20"/>
        </w:num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Proposal ECHO/ERC/BUD/2011/01008</w:t>
      </w:r>
    </w:p>
    <w:p w:rsidR="007B057B" w:rsidRPr="007B057B" w:rsidRDefault="007B057B" w:rsidP="00493997">
      <w:pPr>
        <w:numPr>
          <w:ilvl w:val="0"/>
          <w:numId w:val="20"/>
        </w:numPr>
        <w:spacing w:after="0" w:line="240" w:lineRule="auto"/>
        <w:jc w:val="both"/>
        <w:rPr>
          <w:rFonts w:ascii="Arial" w:eastAsia="Calibri" w:hAnsi="Arial" w:cs="Arial"/>
          <w:sz w:val="24"/>
          <w:szCs w:val="24"/>
          <w:lang w:eastAsia="en-GB"/>
        </w:rPr>
      </w:pP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internal reports and project reports as required and available</w:t>
      </w:r>
    </w:p>
    <w:p w:rsidR="007B057B" w:rsidRPr="007B057B" w:rsidRDefault="007B057B" w:rsidP="00493997">
      <w:pPr>
        <w:numPr>
          <w:ilvl w:val="0"/>
          <w:numId w:val="20"/>
        </w:numPr>
        <w:spacing w:after="0" w:line="240" w:lineRule="auto"/>
        <w:jc w:val="both"/>
        <w:rPr>
          <w:rFonts w:ascii="Arial" w:eastAsia="Calibri" w:hAnsi="Arial" w:cs="Arial"/>
          <w:sz w:val="24"/>
          <w:szCs w:val="24"/>
          <w:lang w:eastAsia="en-GB"/>
        </w:rPr>
      </w:pP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Guidance documents on Health, Livelihoods and Needs Assessment.</w:t>
      </w:r>
    </w:p>
    <w:p w:rsidR="007B057B" w:rsidRPr="007B057B" w:rsidRDefault="007B057B" w:rsidP="00493997">
      <w:pPr>
        <w:numPr>
          <w:ilvl w:val="0"/>
          <w:numId w:val="20"/>
        </w:numPr>
        <w:spacing w:after="0" w:line="240" w:lineRule="auto"/>
        <w:jc w:val="both"/>
        <w:rPr>
          <w:rFonts w:ascii="Arial" w:eastAsia="Calibri" w:hAnsi="Arial" w:cs="Arial"/>
          <w:sz w:val="24"/>
          <w:szCs w:val="24"/>
          <w:lang w:eastAsia="en-GB"/>
        </w:rPr>
      </w:pP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Policy Report, </w:t>
      </w:r>
      <w:r w:rsidRPr="007B057B">
        <w:rPr>
          <w:rFonts w:ascii="Arial" w:eastAsia="Calibri" w:hAnsi="Arial" w:cs="Arial"/>
          <w:i/>
          <w:sz w:val="24"/>
          <w:szCs w:val="24"/>
          <w:lang w:eastAsia="en-GB"/>
        </w:rPr>
        <w:t>The neglected generation: the impact of displacement on older people</w:t>
      </w:r>
    </w:p>
    <w:p w:rsidR="007B057B" w:rsidRPr="007B057B" w:rsidRDefault="007B057B" w:rsidP="00493997">
      <w:pPr>
        <w:numPr>
          <w:ilvl w:val="0"/>
          <w:numId w:val="20"/>
        </w:numPr>
        <w:spacing w:after="0" w:line="240" w:lineRule="auto"/>
        <w:jc w:val="both"/>
        <w:rPr>
          <w:rFonts w:ascii="Arial" w:eastAsia="Calibri" w:hAnsi="Arial" w:cs="Arial"/>
          <w:sz w:val="24"/>
          <w:szCs w:val="24"/>
          <w:lang w:eastAsia="en-GB"/>
        </w:rPr>
      </w:pP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Policy Report, Humanitarian Financing report February 2011.</w:t>
      </w:r>
    </w:p>
    <w:p w:rsidR="007B057B" w:rsidRPr="007B057B" w:rsidRDefault="007B057B" w:rsidP="00493997">
      <w:pPr>
        <w:numPr>
          <w:ilvl w:val="0"/>
          <w:numId w:val="20"/>
        </w:num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 xml:space="preserve">Helping </w:t>
      </w:r>
      <w:proofErr w:type="gramStart"/>
      <w:r w:rsidRPr="007B057B">
        <w:rPr>
          <w:rFonts w:ascii="Arial" w:eastAsia="Calibri" w:hAnsi="Arial" w:cs="Arial"/>
          <w:sz w:val="24"/>
          <w:szCs w:val="24"/>
          <w:lang w:eastAsia="en-GB"/>
        </w:rPr>
        <w:t>Older</w:t>
      </w:r>
      <w:proofErr w:type="gramEnd"/>
      <w:r w:rsidRPr="007B057B">
        <w:rPr>
          <w:rFonts w:ascii="Arial" w:eastAsia="Calibri" w:hAnsi="Arial" w:cs="Arial"/>
          <w:sz w:val="24"/>
          <w:szCs w:val="24"/>
          <w:lang w:eastAsia="en-GB"/>
        </w:rPr>
        <w:t xml:space="preserve"> people in Emergencies (HOPE) Training Programme materials and training evaluation summaries. </w:t>
      </w:r>
    </w:p>
    <w:p w:rsidR="007B057B" w:rsidRPr="007B057B" w:rsidRDefault="007B057B" w:rsidP="007B057B">
      <w:p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 xml:space="preserve">             </w:t>
      </w:r>
    </w:p>
    <w:p w:rsidR="007B057B" w:rsidRPr="007B057B" w:rsidRDefault="007B057B" w:rsidP="007B057B">
      <w:pPr>
        <w:spacing w:after="0" w:line="240" w:lineRule="auto"/>
        <w:jc w:val="both"/>
        <w:rPr>
          <w:rFonts w:ascii="Arial" w:eastAsia="Calibri" w:hAnsi="Arial" w:cs="Arial"/>
          <w:sz w:val="24"/>
          <w:szCs w:val="24"/>
          <w:lang w:eastAsia="en-GB"/>
        </w:rPr>
      </w:pPr>
    </w:p>
    <w:p w:rsidR="007B057B" w:rsidRPr="007B057B" w:rsidRDefault="007B057B" w:rsidP="00493997">
      <w:pPr>
        <w:numPr>
          <w:ilvl w:val="1"/>
          <w:numId w:val="26"/>
        </w:numPr>
        <w:spacing w:after="0" w:line="240" w:lineRule="auto"/>
        <w:jc w:val="both"/>
        <w:rPr>
          <w:rFonts w:ascii="Arial" w:eastAsia="Calibri" w:hAnsi="Arial" w:cs="Arial"/>
          <w:sz w:val="24"/>
          <w:szCs w:val="24"/>
          <w:lang w:eastAsia="en-GB"/>
        </w:rPr>
      </w:pPr>
      <w:r w:rsidRPr="007B057B">
        <w:rPr>
          <w:rFonts w:ascii="Arial" w:eastAsia="Calibri" w:hAnsi="Arial" w:cs="Arial"/>
          <w:b/>
          <w:sz w:val="24"/>
          <w:szCs w:val="24"/>
          <w:lang w:eastAsia="en-GB"/>
        </w:rPr>
        <w:t>Field visits</w:t>
      </w:r>
      <w:r w:rsidRPr="007B057B">
        <w:rPr>
          <w:rFonts w:ascii="Arial" w:eastAsia="Calibri" w:hAnsi="Arial" w:cs="Arial"/>
          <w:sz w:val="24"/>
          <w:szCs w:val="24"/>
          <w:lang w:eastAsia="en-GB"/>
        </w:rPr>
        <w:t xml:space="preserve">; </w:t>
      </w:r>
    </w:p>
    <w:p w:rsidR="007B057B" w:rsidRPr="007B057B" w:rsidRDefault="007B057B" w:rsidP="007B057B">
      <w:pPr>
        <w:spacing w:after="0" w:line="240" w:lineRule="auto"/>
        <w:jc w:val="both"/>
        <w:rPr>
          <w:rFonts w:ascii="Arial" w:eastAsia="Calibri" w:hAnsi="Arial" w:cs="Arial"/>
          <w:sz w:val="24"/>
          <w:szCs w:val="24"/>
          <w:lang w:eastAsia="en-GB"/>
        </w:rPr>
      </w:pPr>
    </w:p>
    <w:p w:rsidR="007B057B" w:rsidRPr="007B057B" w:rsidRDefault="007B057B" w:rsidP="007B057B">
      <w:p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 xml:space="preserve">The consultant will need to undertake detailed interviews with key staff involved in the implementation of the project and with key stakeholders whom the project seeks to influence. Many of these interviews can be held face-to-face in London, Geneva and one field location while others will need to be conducted by Skype. With support of the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team the consultant will draw up a full list of relevant interviewees.  </w:t>
      </w:r>
    </w:p>
    <w:p w:rsidR="007B057B" w:rsidRPr="007B057B" w:rsidRDefault="007B057B" w:rsidP="007B057B">
      <w:pPr>
        <w:spacing w:after="0" w:line="240" w:lineRule="auto"/>
        <w:jc w:val="both"/>
        <w:rPr>
          <w:rFonts w:ascii="Arial" w:eastAsia="Calibri" w:hAnsi="Arial" w:cs="Arial"/>
          <w:sz w:val="24"/>
          <w:szCs w:val="24"/>
          <w:lang w:eastAsia="en-GB"/>
        </w:rPr>
      </w:pPr>
    </w:p>
    <w:p w:rsidR="007B057B" w:rsidRPr="007B057B" w:rsidRDefault="007B057B" w:rsidP="007B057B">
      <w:p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 xml:space="preserve">London: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and Handicap International staff, </w:t>
      </w:r>
    </w:p>
    <w:p w:rsidR="007B057B" w:rsidRPr="007B057B" w:rsidRDefault="007B057B" w:rsidP="007B057B">
      <w:pPr>
        <w:spacing w:after="0" w:line="240" w:lineRule="auto"/>
        <w:jc w:val="both"/>
        <w:rPr>
          <w:rFonts w:ascii="Arial" w:eastAsia="Calibri" w:hAnsi="Arial" w:cs="Arial"/>
          <w:sz w:val="24"/>
          <w:szCs w:val="24"/>
          <w:lang w:eastAsia="en-GB"/>
        </w:rPr>
      </w:pPr>
    </w:p>
    <w:p w:rsidR="007B057B" w:rsidRPr="007B057B" w:rsidRDefault="007B057B" w:rsidP="007B057B">
      <w:pPr>
        <w:spacing w:after="0" w:line="240" w:lineRule="auto"/>
        <w:jc w:val="both"/>
        <w:rPr>
          <w:rFonts w:ascii="Arial" w:eastAsia="Calibri" w:hAnsi="Arial" w:cs="Arial"/>
          <w:sz w:val="24"/>
          <w:szCs w:val="24"/>
          <w:lang w:eastAsia="en-GB"/>
        </w:rPr>
      </w:pPr>
      <w:r w:rsidRPr="007B057B">
        <w:rPr>
          <w:rFonts w:ascii="Arial" w:eastAsia="Calibri" w:hAnsi="Arial" w:cs="Arial"/>
          <w:sz w:val="24"/>
          <w:szCs w:val="24"/>
          <w:lang w:eastAsia="en-GB"/>
        </w:rPr>
        <w:t xml:space="preserve">Geneva/New York: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staff, Handicap International staff, IASC Needs Assessment Task Force, ACAPS, IASC </w:t>
      </w:r>
      <w:proofErr w:type="spellStart"/>
      <w:r w:rsidRPr="007B057B">
        <w:rPr>
          <w:rFonts w:ascii="Arial" w:eastAsia="Calibri" w:hAnsi="Arial" w:cs="Arial"/>
          <w:sz w:val="24"/>
          <w:szCs w:val="24"/>
          <w:lang w:eastAsia="en-GB"/>
        </w:rPr>
        <w:t>sWG</w:t>
      </w:r>
      <w:proofErr w:type="spellEnd"/>
      <w:r w:rsidRPr="007B057B">
        <w:rPr>
          <w:rFonts w:ascii="Arial" w:eastAsia="Calibri" w:hAnsi="Arial" w:cs="Arial"/>
          <w:sz w:val="24"/>
          <w:szCs w:val="24"/>
          <w:lang w:eastAsia="en-GB"/>
        </w:rPr>
        <w:t xml:space="preserve"> on Gender (New York and Geneva); IASC Secretariat; OCHA Humanitarian Reform Support Section; </w:t>
      </w:r>
      <w:proofErr w:type="spellStart"/>
      <w:r w:rsidRPr="007B057B">
        <w:rPr>
          <w:rFonts w:ascii="Arial" w:eastAsia="Calibri" w:hAnsi="Arial" w:cs="Arial"/>
          <w:sz w:val="24"/>
          <w:szCs w:val="24"/>
          <w:lang w:eastAsia="en-GB"/>
        </w:rPr>
        <w:t>GENcap</w:t>
      </w:r>
      <w:proofErr w:type="spellEnd"/>
      <w:r w:rsidRPr="007B057B">
        <w:rPr>
          <w:rFonts w:ascii="Arial" w:eastAsia="Calibri" w:hAnsi="Arial" w:cs="Arial"/>
          <w:sz w:val="24"/>
          <w:szCs w:val="24"/>
          <w:lang w:eastAsia="en-GB"/>
        </w:rPr>
        <w:t xml:space="preserve"> and </w:t>
      </w:r>
      <w:proofErr w:type="spellStart"/>
      <w:r w:rsidRPr="007B057B">
        <w:rPr>
          <w:rFonts w:ascii="Arial" w:eastAsia="Calibri" w:hAnsi="Arial" w:cs="Arial"/>
          <w:sz w:val="24"/>
          <w:szCs w:val="24"/>
          <w:lang w:eastAsia="en-GB"/>
        </w:rPr>
        <w:t>PROcap</w:t>
      </w:r>
      <w:proofErr w:type="spellEnd"/>
      <w:r w:rsidRPr="007B057B">
        <w:rPr>
          <w:rFonts w:ascii="Arial" w:eastAsia="Calibri" w:hAnsi="Arial" w:cs="Arial"/>
          <w:sz w:val="24"/>
          <w:szCs w:val="24"/>
          <w:lang w:eastAsia="en-GB"/>
        </w:rPr>
        <w:t xml:space="preserve"> Secretariat; Global Protection Cluster; UNHCR; Global Food Security Cluster; Consolidated Appeals Section; Global Health Cluster; IDMC.</w:t>
      </w:r>
    </w:p>
    <w:p w:rsidR="007B057B" w:rsidRPr="007B057B" w:rsidRDefault="007B057B" w:rsidP="007B057B">
      <w:pPr>
        <w:autoSpaceDE w:val="0"/>
        <w:autoSpaceDN w:val="0"/>
        <w:adjustRightInd w:val="0"/>
        <w:spacing w:after="0" w:line="240" w:lineRule="auto"/>
        <w:rPr>
          <w:rFonts w:ascii="Arial" w:eastAsia="Calibri" w:hAnsi="Arial" w:cs="Arial"/>
          <w:sz w:val="24"/>
          <w:szCs w:val="24"/>
          <w:lang w:eastAsia="en-GB"/>
        </w:rPr>
      </w:pPr>
    </w:p>
    <w:p w:rsidR="007B057B" w:rsidRPr="007B057B" w:rsidRDefault="007B057B" w:rsidP="007B057B">
      <w:p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One Field Visit to assess responses to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implemented needs assessments and HOPE training and Skype contact and written reports to assess three other field sites. </w:t>
      </w:r>
    </w:p>
    <w:p w:rsidR="007B057B" w:rsidRPr="007B057B" w:rsidRDefault="007B057B" w:rsidP="00493997">
      <w:pPr>
        <w:keepNext/>
        <w:numPr>
          <w:ilvl w:val="0"/>
          <w:numId w:val="23"/>
        </w:numPr>
        <w:spacing w:before="240" w:after="60" w:line="240" w:lineRule="auto"/>
        <w:outlineLvl w:val="2"/>
        <w:rPr>
          <w:rFonts w:ascii="Arial" w:eastAsia="Times New Roman" w:hAnsi="Arial" w:cs="Arial"/>
          <w:b/>
          <w:bCs/>
          <w:sz w:val="24"/>
          <w:szCs w:val="24"/>
        </w:rPr>
      </w:pPr>
      <w:bookmarkStart w:id="28" w:name="_Toc352225705"/>
      <w:bookmarkStart w:id="29" w:name="_Toc352225946"/>
      <w:r w:rsidRPr="007B057B">
        <w:rPr>
          <w:rFonts w:ascii="Arial" w:eastAsia="Times New Roman" w:hAnsi="Arial" w:cs="Arial"/>
          <w:b/>
          <w:bCs/>
          <w:sz w:val="24"/>
          <w:szCs w:val="24"/>
        </w:rPr>
        <w:t>TIME FRAME</w:t>
      </w:r>
      <w:bookmarkEnd w:id="28"/>
      <w:bookmarkEnd w:id="29"/>
    </w:p>
    <w:p w:rsidR="007B057B" w:rsidRPr="007B057B" w:rsidRDefault="007B057B" w:rsidP="007B057B">
      <w:pPr>
        <w:tabs>
          <w:tab w:val="left" w:pos="360"/>
        </w:tabs>
        <w:spacing w:after="0" w:line="240" w:lineRule="auto"/>
        <w:rPr>
          <w:rFonts w:ascii="Arial" w:eastAsia="Calibri" w:hAnsi="Arial" w:cs="Arial"/>
          <w:b/>
          <w:bCs/>
          <w:sz w:val="24"/>
          <w:szCs w:val="24"/>
          <w:lang w:eastAsia="en-GB"/>
        </w:rPr>
      </w:pPr>
      <w:proofErr w:type="gramStart"/>
      <w:r w:rsidRPr="007B057B">
        <w:rPr>
          <w:rFonts w:ascii="Arial" w:eastAsia="Calibri" w:hAnsi="Arial" w:cs="Arial"/>
          <w:b/>
          <w:bCs/>
          <w:sz w:val="24"/>
          <w:szCs w:val="24"/>
          <w:lang w:eastAsia="en-GB"/>
        </w:rPr>
        <w:t>The evaluation to be undertaken in January or February 2013.</w:t>
      </w:r>
      <w:proofErr w:type="gramEnd"/>
    </w:p>
    <w:p w:rsidR="007B057B" w:rsidRPr="007B057B" w:rsidRDefault="007B057B" w:rsidP="007B057B">
      <w:pPr>
        <w:tabs>
          <w:tab w:val="left" w:pos="360"/>
        </w:tabs>
        <w:spacing w:after="0" w:line="240" w:lineRule="auto"/>
        <w:rPr>
          <w:rFonts w:ascii="Arial" w:eastAsia="Calibri" w:hAnsi="Arial" w:cs="Arial"/>
          <w:b/>
          <w:bCs/>
          <w:sz w:val="24"/>
          <w:szCs w:val="24"/>
          <w:lang w:eastAsia="en-GB"/>
        </w:rPr>
      </w:pPr>
      <w:r w:rsidRPr="007B057B">
        <w:rPr>
          <w:rFonts w:ascii="Arial" w:eastAsia="Calibri" w:hAnsi="Arial" w:cs="Arial"/>
          <w:b/>
          <w:bCs/>
          <w:sz w:val="24"/>
          <w:szCs w:val="24"/>
          <w:lang w:eastAsia="en-GB"/>
        </w:rPr>
        <w:t xml:space="preserve"> </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Initial planning, and inception report three days </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Data collection and research interviews, 10 days.</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Field visit seven days</w:t>
      </w:r>
      <w:r w:rsidRPr="007B057B">
        <w:rPr>
          <w:rFonts w:ascii="Arial" w:eastAsia="Calibri" w:hAnsi="Arial" w:cs="Arial"/>
          <w:sz w:val="24"/>
          <w:szCs w:val="24"/>
          <w:lang w:eastAsia="en-GB"/>
        </w:rPr>
        <w:tab/>
        <w:t xml:space="preserve"> </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To draft evaluation report seven days</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Presentation of the draft evaluation report, one day</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Finalisation of the report two days.</w:t>
      </w:r>
    </w:p>
    <w:p w:rsidR="007B057B" w:rsidRPr="007B057B" w:rsidRDefault="007B057B" w:rsidP="00493997">
      <w:pPr>
        <w:numPr>
          <w:ilvl w:val="0"/>
          <w:numId w:val="20"/>
        </w:numPr>
        <w:autoSpaceDE w:val="0"/>
        <w:autoSpaceDN w:val="0"/>
        <w:adjustRightInd w:val="0"/>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TOTAL 30 days </w:t>
      </w:r>
    </w:p>
    <w:p w:rsidR="007B057B" w:rsidRPr="007B057B" w:rsidRDefault="007B057B" w:rsidP="007B057B">
      <w:pPr>
        <w:autoSpaceDE w:val="0"/>
        <w:autoSpaceDN w:val="0"/>
        <w:spacing w:after="0" w:line="240" w:lineRule="auto"/>
        <w:rPr>
          <w:rFonts w:ascii="Arial" w:eastAsia="Calibri" w:hAnsi="Arial" w:cs="Arial"/>
          <w:sz w:val="24"/>
          <w:szCs w:val="24"/>
          <w:lang w:eastAsia="en-GB"/>
        </w:rPr>
      </w:pPr>
    </w:p>
    <w:p w:rsidR="007B057B" w:rsidRPr="007B057B" w:rsidRDefault="007B057B" w:rsidP="00493997">
      <w:pPr>
        <w:keepNext/>
        <w:numPr>
          <w:ilvl w:val="0"/>
          <w:numId w:val="23"/>
        </w:numPr>
        <w:spacing w:before="240" w:after="60" w:line="240" w:lineRule="auto"/>
        <w:outlineLvl w:val="2"/>
        <w:rPr>
          <w:rFonts w:ascii="Arial" w:eastAsia="Times New Roman" w:hAnsi="Arial" w:cs="Arial"/>
          <w:b/>
          <w:bCs/>
          <w:sz w:val="24"/>
          <w:szCs w:val="24"/>
        </w:rPr>
      </w:pPr>
      <w:bookmarkStart w:id="30" w:name="_Toc222487572"/>
      <w:bookmarkStart w:id="31" w:name="_Toc222488638"/>
      <w:bookmarkStart w:id="32" w:name="_Toc225765237"/>
      <w:bookmarkStart w:id="33" w:name="_Toc352225706"/>
      <w:bookmarkStart w:id="34" w:name="_Toc352225947"/>
      <w:r w:rsidRPr="007B057B">
        <w:rPr>
          <w:rFonts w:ascii="Arial" w:eastAsia="Times New Roman" w:hAnsi="Arial" w:cs="Arial"/>
          <w:b/>
          <w:bCs/>
          <w:sz w:val="24"/>
          <w:szCs w:val="24"/>
        </w:rPr>
        <w:t>E</w:t>
      </w:r>
      <w:bookmarkEnd w:id="30"/>
      <w:bookmarkEnd w:id="31"/>
      <w:bookmarkEnd w:id="32"/>
      <w:r w:rsidRPr="007B057B">
        <w:rPr>
          <w:rFonts w:ascii="Arial" w:eastAsia="Times New Roman" w:hAnsi="Arial" w:cs="Arial"/>
          <w:b/>
          <w:bCs/>
          <w:sz w:val="24"/>
          <w:szCs w:val="24"/>
        </w:rPr>
        <w:t>XPECTED OUTPUTS AND DELIVERY</w:t>
      </w:r>
      <w:bookmarkEnd w:id="33"/>
      <w:bookmarkEnd w:id="34"/>
      <w:r w:rsidRPr="007B057B">
        <w:rPr>
          <w:rFonts w:ascii="Arial" w:eastAsia="Times New Roman" w:hAnsi="Arial" w:cs="Arial"/>
          <w:b/>
          <w:bCs/>
          <w:sz w:val="24"/>
          <w:szCs w:val="24"/>
        </w:rPr>
        <w:t xml:space="preserve"> </w:t>
      </w:r>
    </w:p>
    <w:p w:rsidR="007B057B" w:rsidRPr="007B057B" w:rsidRDefault="007B057B" w:rsidP="007B057B">
      <w:pPr>
        <w:tabs>
          <w:tab w:val="left" w:pos="360"/>
        </w:tabs>
        <w:spacing w:after="0" w:line="240" w:lineRule="auto"/>
        <w:rPr>
          <w:rFonts w:ascii="Arial" w:eastAsia="Calibri" w:hAnsi="Arial" w:cs="Arial"/>
          <w:b/>
          <w:bCs/>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The evaluator will provide a written report of approximately 30/40 pages including an executive summary to be delivered to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by 1 March 2013.</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will provide oral and written responses to the report within seven days of receiving the document for proposed inclusion in the final draft.</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r w:rsidRPr="007B057B">
        <w:rPr>
          <w:rFonts w:ascii="Arial" w:eastAsia="Calibri" w:hAnsi="Arial" w:cs="Arial"/>
          <w:sz w:val="24"/>
          <w:szCs w:val="24"/>
          <w:lang w:eastAsia="en-GB"/>
        </w:rPr>
        <w:t xml:space="preserve">The final document will be delivered to </w:t>
      </w:r>
      <w:proofErr w:type="spellStart"/>
      <w:r w:rsidRPr="007B057B">
        <w:rPr>
          <w:rFonts w:ascii="Arial" w:eastAsia="Calibri" w:hAnsi="Arial" w:cs="Arial"/>
          <w:sz w:val="24"/>
          <w:szCs w:val="24"/>
          <w:lang w:eastAsia="en-GB"/>
        </w:rPr>
        <w:t>HelpAge</w:t>
      </w:r>
      <w:proofErr w:type="spellEnd"/>
      <w:r w:rsidRPr="007B057B">
        <w:rPr>
          <w:rFonts w:ascii="Arial" w:eastAsia="Calibri" w:hAnsi="Arial" w:cs="Arial"/>
          <w:sz w:val="24"/>
          <w:szCs w:val="24"/>
          <w:lang w:eastAsia="en-GB"/>
        </w:rPr>
        <w:t xml:space="preserve"> International not later than 15 March 2013.</w:t>
      </w: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sz w:val="24"/>
          <w:szCs w:val="24"/>
          <w:lang w:eastAsia="en-GB"/>
        </w:rPr>
      </w:pPr>
    </w:p>
    <w:p w:rsidR="007B057B" w:rsidRPr="007B057B" w:rsidRDefault="007B057B" w:rsidP="007B057B">
      <w:pPr>
        <w:spacing w:after="0" w:line="240" w:lineRule="auto"/>
        <w:rPr>
          <w:rFonts w:ascii="Arial" w:eastAsia="Calibri" w:hAnsi="Arial" w:cs="Arial"/>
          <w:b/>
          <w:sz w:val="24"/>
          <w:szCs w:val="24"/>
          <w:lang w:eastAsia="en-GB"/>
        </w:rPr>
      </w:pPr>
      <w:r w:rsidRPr="007B057B">
        <w:rPr>
          <w:rFonts w:ascii="Arial" w:eastAsia="Calibri" w:hAnsi="Arial" w:cs="Arial"/>
          <w:b/>
          <w:sz w:val="24"/>
          <w:szCs w:val="24"/>
          <w:lang w:eastAsia="en-GB"/>
        </w:rPr>
        <w:t>Appendix 1: Logistical framework ECHO/ERC/BUD/2011/01008</w:t>
      </w:r>
    </w:p>
    <w:p w:rsidR="007B057B" w:rsidRPr="007B057B" w:rsidRDefault="007B057B" w:rsidP="007B057B">
      <w:pPr>
        <w:spacing w:after="0" w:line="240" w:lineRule="auto"/>
        <w:rPr>
          <w:rFonts w:ascii="Arial" w:eastAsia="Calibri" w:hAnsi="Arial" w:cs="Arial"/>
          <w:b/>
          <w:sz w:val="24"/>
          <w:szCs w:val="24"/>
          <w:lang w:eastAsia="en-GB"/>
        </w:rPr>
      </w:pPr>
    </w:p>
    <w:p w:rsidR="007B057B" w:rsidRPr="007B057B" w:rsidRDefault="007B057B" w:rsidP="007B057B">
      <w:pPr>
        <w:spacing w:after="0" w:line="240" w:lineRule="auto"/>
        <w:rPr>
          <w:rFonts w:ascii="Arial" w:eastAsia="Calibri" w:hAnsi="Arial" w:cs="Arial"/>
          <w:b/>
          <w:sz w:val="24"/>
          <w:szCs w:val="24"/>
          <w:lang w:eastAsia="en-GB"/>
        </w:rPr>
      </w:pPr>
      <w:r w:rsidRPr="007B057B">
        <w:rPr>
          <w:rFonts w:ascii="Arial" w:eastAsia="Calibri" w:hAnsi="Arial" w:cs="Arial"/>
          <w:b/>
          <w:sz w:val="24"/>
          <w:szCs w:val="24"/>
          <w:lang w:eastAsia="en-GB"/>
        </w:rPr>
        <w:t>Appendix 2: Project proposal ECHO/ERC/BUD/2011/01008</w:t>
      </w:r>
    </w:p>
    <w:p w:rsidR="007B057B" w:rsidRPr="007B057B" w:rsidRDefault="007B057B" w:rsidP="007B057B">
      <w:pPr>
        <w:spacing w:after="0" w:line="240" w:lineRule="auto"/>
        <w:rPr>
          <w:rFonts w:ascii="Arial" w:eastAsia="Calibri" w:hAnsi="Arial" w:cs="Arial"/>
          <w:b/>
          <w:sz w:val="24"/>
          <w:szCs w:val="24"/>
          <w:lang w:eastAsia="en-GB"/>
        </w:rPr>
      </w:pPr>
    </w:p>
    <w:p w:rsidR="007B057B" w:rsidRDefault="007B057B" w:rsidP="00D13862">
      <w:pPr>
        <w:pStyle w:val="NoSpacing"/>
      </w:pPr>
      <w:bookmarkStart w:id="35" w:name="_GoBack"/>
      <w:bookmarkEnd w:id="35"/>
    </w:p>
    <w:sectPr w:rsidR="007B057B" w:rsidSect="00103B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A1" w:rsidRDefault="00C505A1" w:rsidP="009763AD">
      <w:pPr>
        <w:spacing w:after="0" w:line="240" w:lineRule="auto"/>
      </w:pPr>
      <w:r>
        <w:separator/>
      </w:r>
    </w:p>
  </w:endnote>
  <w:endnote w:type="continuationSeparator" w:id="0">
    <w:p w:rsidR="00C505A1" w:rsidRDefault="00C505A1" w:rsidP="0097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821492"/>
      <w:docPartObj>
        <w:docPartGallery w:val="Page Numbers (Bottom of Page)"/>
        <w:docPartUnique/>
      </w:docPartObj>
    </w:sdtPr>
    <w:sdtEndPr>
      <w:rPr>
        <w:noProof/>
      </w:rPr>
    </w:sdtEndPr>
    <w:sdtContent>
      <w:p w:rsidR="00C505A1" w:rsidRDefault="00C505A1">
        <w:pPr>
          <w:pStyle w:val="Footer"/>
          <w:jc w:val="right"/>
        </w:pPr>
        <w:r>
          <w:fldChar w:fldCharType="begin"/>
        </w:r>
        <w:r>
          <w:instrText xml:space="preserve"> PAGE   \* MERGEFORMAT </w:instrText>
        </w:r>
        <w:r>
          <w:fldChar w:fldCharType="separate"/>
        </w:r>
        <w:r w:rsidR="001445C9">
          <w:rPr>
            <w:noProof/>
          </w:rPr>
          <w:t>1</w:t>
        </w:r>
        <w:r>
          <w:rPr>
            <w:noProof/>
          </w:rPr>
          <w:fldChar w:fldCharType="end"/>
        </w:r>
      </w:p>
    </w:sdtContent>
  </w:sdt>
  <w:p w:rsidR="00C505A1" w:rsidRDefault="00C50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A1" w:rsidRDefault="00C505A1" w:rsidP="009763AD">
      <w:pPr>
        <w:spacing w:after="0" w:line="240" w:lineRule="auto"/>
      </w:pPr>
      <w:r>
        <w:separator/>
      </w:r>
    </w:p>
  </w:footnote>
  <w:footnote w:type="continuationSeparator" w:id="0">
    <w:p w:rsidR="00C505A1" w:rsidRDefault="00C505A1" w:rsidP="009763AD">
      <w:pPr>
        <w:spacing w:after="0" w:line="240" w:lineRule="auto"/>
      </w:pPr>
      <w:r>
        <w:continuationSeparator/>
      </w:r>
    </w:p>
  </w:footnote>
  <w:footnote w:id="1">
    <w:p w:rsidR="00C505A1" w:rsidRDefault="00C505A1" w:rsidP="0002193A">
      <w:pPr>
        <w:pStyle w:val="FootnoteText"/>
      </w:pPr>
      <w:r>
        <w:rPr>
          <w:rStyle w:val="FootnoteReference"/>
        </w:rPr>
        <w:footnoteRef/>
      </w:r>
      <w:r>
        <w:t xml:space="preserve"> </w:t>
      </w:r>
      <w:r w:rsidRPr="007520D0">
        <w:rPr>
          <w:lang w:val="en-US"/>
        </w:rPr>
        <w:t>The IASC</w:t>
      </w:r>
      <w:r>
        <w:rPr>
          <w:lang w:val="en-US"/>
        </w:rPr>
        <w:t xml:space="preserve"> was </w:t>
      </w:r>
      <w:r w:rsidRPr="007520D0">
        <w:rPr>
          <w:lang w:val="en-US"/>
        </w:rPr>
        <w:t>created by United Nations General Assembly resolution 46/182 (1991). It is composed of</w:t>
      </w:r>
      <w:r>
        <w:rPr>
          <w:lang w:val="en-US"/>
        </w:rPr>
        <w:t xml:space="preserve"> </w:t>
      </w:r>
      <w:r w:rsidRPr="007520D0">
        <w:rPr>
          <w:lang w:val="en-US"/>
        </w:rPr>
        <w:t>relevant operational United Nations agencies, the Red Cross and the Red Crescent Movement, IOM</w:t>
      </w:r>
      <w:r>
        <w:rPr>
          <w:lang w:val="en-US"/>
        </w:rPr>
        <w:t xml:space="preserve"> </w:t>
      </w:r>
      <w:r w:rsidRPr="007520D0">
        <w:rPr>
          <w:lang w:val="en-US"/>
        </w:rPr>
        <w:t>and three NGO consortia. The IASC is the primary mechanism for inter-agency coordination of</w:t>
      </w:r>
      <w:r>
        <w:rPr>
          <w:lang w:val="en-US"/>
        </w:rPr>
        <w:t xml:space="preserve"> </w:t>
      </w:r>
      <w:r w:rsidRPr="007520D0">
        <w:rPr>
          <w:lang w:val="en-US"/>
        </w:rPr>
        <w:t>humanitarian assistance.</w:t>
      </w:r>
    </w:p>
  </w:footnote>
  <w:footnote w:id="2">
    <w:p w:rsidR="00C505A1" w:rsidRDefault="00C505A1" w:rsidP="0002193A">
      <w:pPr>
        <w:pStyle w:val="FootnoteText"/>
      </w:pPr>
      <w:r>
        <w:rPr>
          <w:rStyle w:val="FootnoteReference"/>
        </w:rPr>
        <w:footnoteRef/>
      </w:r>
      <w:r>
        <w:t xml:space="preserve"> </w:t>
      </w:r>
      <w:r w:rsidRPr="007A6F33">
        <w:t>IASC</w:t>
      </w:r>
      <w:r>
        <w:t xml:space="preserve"> (2008)</w:t>
      </w:r>
      <w:r w:rsidRPr="007A6F33">
        <w:t xml:space="preserve">, </w:t>
      </w:r>
      <w:r w:rsidRPr="007A6F33">
        <w:rPr>
          <w:bCs/>
        </w:rPr>
        <w:t>Humanitarian Action and Older Persons: An essential brief for humanitarian actors; (Inter-Agency Standing Committee, 2008)</w:t>
      </w:r>
    </w:p>
  </w:footnote>
  <w:footnote w:id="3">
    <w:p w:rsidR="00C505A1" w:rsidRDefault="00C505A1" w:rsidP="0072533E">
      <w:pPr>
        <w:pStyle w:val="FootnoteText"/>
      </w:pPr>
      <w:r>
        <w:rPr>
          <w:rStyle w:val="FootnoteReference"/>
        </w:rPr>
        <w:footnoteRef/>
      </w:r>
      <w:r>
        <w:t xml:space="preserve"> As explained in </w:t>
      </w:r>
      <w:r w:rsidRPr="00562D8F">
        <w:rPr>
          <w:bCs/>
        </w:rPr>
        <w:t>IASC</w:t>
      </w:r>
      <w:r>
        <w:rPr>
          <w:bCs/>
        </w:rPr>
        <w:t xml:space="preserve"> (2010)</w:t>
      </w:r>
      <w:r w:rsidRPr="00562D8F">
        <w:rPr>
          <w:bCs/>
        </w:rPr>
        <w:t xml:space="preserve">, 78th IASC Working Group Meeting, Older Persons and Humanitarian Action; Prepared by: </w:t>
      </w:r>
      <w:proofErr w:type="spellStart"/>
      <w:r w:rsidRPr="00562D8F">
        <w:rPr>
          <w:bCs/>
        </w:rPr>
        <w:t>HelpAge</w:t>
      </w:r>
      <w:proofErr w:type="spellEnd"/>
      <w:r w:rsidRPr="00562D8F">
        <w:rPr>
          <w:bCs/>
        </w:rPr>
        <w:t xml:space="preserve"> in cooperation with WHO, October 2010</w:t>
      </w:r>
    </w:p>
  </w:footnote>
  <w:footnote w:id="4">
    <w:p w:rsidR="00C505A1" w:rsidRDefault="00C505A1">
      <w:pPr>
        <w:pStyle w:val="FootnoteText"/>
      </w:pPr>
      <w:r>
        <w:rPr>
          <w:rStyle w:val="FootnoteReference"/>
        </w:rPr>
        <w:footnoteRef/>
      </w:r>
      <w:r>
        <w:t xml:space="preserve"> </w:t>
      </w:r>
      <w:r w:rsidRPr="007E5CFC">
        <w:t xml:space="preserve">IASC, 78th IASC Working Group Meeting, Older Persons and Humanitarian Action; Prepared by: </w:t>
      </w:r>
      <w:proofErr w:type="spellStart"/>
      <w:r w:rsidRPr="007E5CFC">
        <w:t>HelpAge</w:t>
      </w:r>
      <w:proofErr w:type="spellEnd"/>
      <w:r w:rsidRPr="007E5CFC">
        <w:t xml:space="preserve"> in cooperation with WHO, October 2010</w:t>
      </w:r>
    </w:p>
  </w:footnote>
  <w:footnote w:id="5">
    <w:p w:rsidR="00C505A1" w:rsidRDefault="00C505A1" w:rsidP="000529FD">
      <w:pPr>
        <w:pStyle w:val="FootnoteText"/>
      </w:pPr>
      <w:r>
        <w:rPr>
          <w:rStyle w:val="FootnoteReference"/>
        </w:rPr>
        <w:footnoteRef/>
      </w:r>
      <w:r>
        <w:t xml:space="preserve"> </w:t>
      </w:r>
      <w:r w:rsidRPr="00BF70A9">
        <w:rPr>
          <w:i/>
          <w:iCs/>
        </w:rPr>
        <w:t>"Mainstreaming Ageing in Inter-</w:t>
      </w:r>
      <w:r w:rsidRPr="00BF70A9">
        <w:rPr>
          <w:iCs/>
        </w:rPr>
        <w:t>Agency</w:t>
      </w:r>
      <w:r w:rsidRPr="00BF70A9">
        <w:rPr>
          <w:i/>
          <w:iCs/>
        </w:rPr>
        <w:t xml:space="preserve"> Humanitarian Processes and Products" </w:t>
      </w:r>
      <w:r w:rsidRPr="00BF70A9">
        <w:t xml:space="preserve">IASC Working Group (November 2010).  </w:t>
      </w:r>
    </w:p>
  </w:footnote>
  <w:footnote w:id="6">
    <w:p w:rsidR="00C505A1" w:rsidRDefault="00C505A1">
      <w:pPr>
        <w:pStyle w:val="FootnoteText"/>
      </w:pPr>
      <w:r>
        <w:rPr>
          <w:rStyle w:val="FootnoteReference"/>
        </w:rPr>
        <w:footnoteRef/>
      </w:r>
      <w:r>
        <w:t xml:space="preserve"> IASC, 78th IASC Working Group Meeting, Final Action Points and Conclusions (10-12 November 2010)</w:t>
      </w:r>
    </w:p>
  </w:footnote>
  <w:footnote w:id="7">
    <w:p w:rsidR="00C505A1" w:rsidRDefault="00C505A1" w:rsidP="00857C4C">
      <w:pPr>
        <w:pStyle w:val="FootnoteText"/>
      </w:pPr>
      <w:r>
        <w:rPr>
          <w:rStyle w:val="FootnoteReference"/>
        </w:rPr>
        <w:footnoteRef/>
      </w:r>
      <w:r>
        <w:t xml:space="preserve"> </w:t>
      </w:r>
      <w:r w:rsidRPr="0052314E">
        <w:t>HAI 2011, ECHO Single Form for Humanitarian Aid and Actions, Grant Agreement</w:t>
      </w:r>
    </w:p>
  </w:footnote>
  <w:footnote w:id="8">
    <w:p w:rsidR="00C505A1" w:rsidRDefault="00C505A1" w:rsidP="00857C4C">
      <w:pPr>
        <w:pStyle w:val="FootnoteText"/>
      </w:pPr>
      <w:r>
        <w:rPr>
          <w:rStyle w:val="FootnoteReference"/>
        </w:rPr>
        <w:footnoteRef/>
      </w:r>
      <w:r>
        <w:t xml:space="preserve"> </w:t>
      </w:r>
      <w:r w:rsidRPr="0052314E">
        <w:t>HAI 2011, ECHO Single Form for Humanitarian Aid and Actions, Grant Agreement</w:t>
      </w:r>
    </w:p>
  </w:footnote>
  <w:footnote w:id="9">
    <w:p w:rsidR="00C505A1" w:rsidRDefault="00C505A1" w:rsidP="00D13862">
      <w:pPr>
        <w:pStyle w:val="FootnoteText"/>
      </w:pPr>
      <w:r>
        <w:rPr>
          <w:rStyle w:val="FootnoteReference"/>
        </w:rPr>
        <w:footnoteRef/>
      </w:r>
      <w:r>
        <w:t xml:space="preserve"> </w:t>
      </w:r>
      <w:proofErr w:type="spellStart"/>
      <w:r w:rsidRPr="00917F1A">
        <w:t>HelpAge</w:t>
      </w:r>
      <w:proofErr w:type="spellEnd"/>
      <w:r w:rsidRPr="00917F1A">
        <w:t xml:space="preserve"> International (2012), Evaluation: Terms of Reference</w:t>
      </w:r>
    </w:p>
  </w:footnote>
  <w:footnote w:id="10">
    <w:p w:rsidR="00C505A1" w:rsidRDefault="00C505A1" w:rsidP="008D6D11">
      <w:pPr>
        <w:pStyle w:val="FootnoteText"/>
      </w:pPr>
      <w:r>
        <w:rPr>
          <w:rStyle w:val="FootnoteReference"/>
        </w:rPr>
        <w:footnoteRef/>
      </w:r>
      <w:r>
        <w:t xml:space="preserve"> </w:t>
      </w:r>
      <w:proofErr w:type="spellStart"/>
      <w:r w:rsidRPr="00C55199">
        <w:rPr>
          <w:rFonts w:ascii="Palatino Linotype" w:hAnsi="Palatino Linotype"/>
          <w:sz w:val="18"/>
          <w:szCs w:val="18"/>
        </w:rPr>
        <w:t>HelpAge</w:t>
      </w:r>
      <w:proofErr w:type="spellEnd"/>
      <w:r w:rsidRPr="00C55199">
        <w:rPr>
          <w:rFonts w:ascii="Palatino Linotype" w:hAnsi="Palatino Linotype"/>
          <w:sz w:val="18"/>
          <w:szCs w:val="18"/>
        </w:rPr>
        <w:t xml:space="preserve"> International (2012), Evaluation: Terms of Reference</w:t>
      </w:r>
    </w:p>
  </w:footnote>
  <w:footnote w:id="11">
    <w:p w:rsidR="00C505A1" w:rsidRPr="008D6D11" w:rsidRDefault="00C505A1">
      <w:pPr>
        <w:pStyle w:val="FootnoteText"/>
        <w:rPr>
          <w:rFonts w:ascii="Palatino Linotype" w:hAnsi="Palatino Linotype"/>
          <w:sz w:val="18"/>
          <w:szCs w:val="18"/>
        </w:rPr>
      </w:pPr>
      <w:r>
        <w:rPr>
          <w:rStyle w:val="FootnoteReference"/>
        </w:rPr>
        <w:footnoteRef/>
      </w:r>
      <w:r>
        <w:t xml:space="preserve"> </w:t>
      </w:r>
      <w:r w:rsidRPr="008D6D11">
        <w:rPr>
          <w:rFonts w:ascii="Palatino Linotype" w:hAnsi="Palatino Linotype"/>
          <w:sz w:val="18"/>
          <w:szCs w:val="18"/>
        </w:rPr>
        <w:t xml:space="preserve">The evaluation will adopt a </w:t>
      </w:r>
      <w:r w:rsidRPr="008D6D11">
        <w:rPr>
          <w:rFonts w:ascii="Palatino Linotype" w:hAnsi="Palatino Linotype"/>
          <w:sz w:val="18"/>
          <w:szCs w:val="18"/>
          <w:lang w:val="en-US"/>
        </w:rPr>
        <w:t>‘learning-focused’ approach aimed at helping advocates understand their progress long before a visible, public success, and to generate information that advocates can use to strengthen decision making, supplementing traditional conceptions of evaluation.</w:t>
      </w:r>
      <w:r w:rsidRPr="008D6D11">
        <w:rPr>
          <w:rFonts w:ascii="Palatino Linotype" w:hAnsi="Palatino Linotype"/>
          <w:sz w:val="18"/>
          <w:szCs w:val="18"/>
        </w:rPr>
        <w:t xml:space="preserve"> Innovation Network, The Practical Guide to Advocacy Evaluation, available at </w:t>
      </w:r>
      <w:r w:rsidRPr="00B3090C">
        <w:rPr>
          <w:rFonts w:ascii="Palatino Linotype" w:hAnsi="Palatino Linotype"/>
          <w:sz w:val="18"/>
          <w:szCs w:val="18"/>
        </w:rPr>
        <w:t>http://www.innonet.org/client_docs/File/advocacy/pathfinder_evaluator_web.pdf</w:t>
      </w:r>
      <w:r w:rsidRPr="008D6D11">
        <w:rPr>
          <w:rFonts w:ascii="Palatino Linotype" w:hAnsi="Palatino Linotype"/>
          <w:sz w:val="18"/>
          <w:szCs w:val="18"/>
        </w:rPr>
        <w:t xml:space="preserve"> </w:t>
      </w:r>
    </w:p>
  </w:footnote>
  <w:footnote w:id="12">
    <w:p w:rsidR="00C505A1" w:rsidRPr="008D6D11" w:rsidRDefault="00C505A1" w:rsidP="00D13862">
      <w:pPr>
        <w:pStyle w:val="FootnoteText"/>
        <w:jc w:val="both"/>
        <w:rPr>
          <w:rFonts w:ascii="Palatino Linotype" w:hAnsi="Palatino Linotype"/>
          <w:sz w:val="18"/>
          <w:szCs w:val="18"/>
        </w:rPr>
      </w:pPr>
      <w:r w:rsidRPr="008D6D11">
        <w:rPr>
          <w:rStyle w:val="FootnoteReference"/>
          <w:rFonts w:ascii="Palatino Linotype" w:hAnsi="Palatino Linotype"/>
          <w:sz w:val="18"/>
          <w:szCs w:val="18"/>
        </w:rPr>
        <w:footnoteRef/>
      </w:r>
      <w:r w:rsidRPr="008D6D11">
        <w:rPr>
          <w:rFonts w:ascii="Palatino Linotype" w:hAnsi="Palatino Linotype"/>
          <w:sz w:val="18"/>
          <w:szCs w:val="18"/>
        </w:rPr>
        <w:t xml:space="preserve"> OECD/DAC, DAC Criteria for Evaluating Development Assistance, available at</w:t>
      </w:r>
    </w:p>
    <w:p w:rsidR="00C505A1" w:rsidRPr="008D6D11" w:rsidRDefault="00C505A1" w:rsidP="00D13862">
      <w:pPr>
        <w:pStyle w:val="FootnoteText"/>
        <w:jc w:val="both"/>
        <w:rPr>
          <w:rFonts w:ascii="Palatino Linotype" w:hAnsi="Palatino Linotype"/>
          <w:sz w:val="18"/>
          <w:szCs w:val="18"/>
        </w:rPr>
      </w:pPr>
      <w:r w:rsidRPr="00B3090C">
        <w:rPr>
          <w:rFonts w:ascii="Palatino Linotype" w:hAnsi="Palatino Linotype"/>
          <w:sz w:val="18"/>
          <w:szCs w:val="18"/>
        </w:rPr>
        <w:t>http://www.oecd.org/document/22/0,2340,en_2649_34435_2086550_1_1_1_1,00.html</w:t>
      </w:r>
      <w:r w:rsidRPr="008D6D11">
        <w:rPr>
          <w:rFonts w:ascii="Palatino Linotype" w:hAnsi="Palatino Linotype"/>
          <w:sz w:val="18"/>
          <w:szCs w:val="18"/>
        </w:rPr>
        <w:t xml:space="preserve"> </w:t>
      </w:r>
    </w:p>
  </w:footnote>
  <w:footnote w:id="13">
    <w:p w:rsidR="00C505A1" w:rsidRPr="008D6D11" w:rsidRDefault="00C505A1" w:rsidP="00D13862">
      <w:pPr>
        <w:pStyle w:val="FootnoteText"/>
        <w:jc w:val="both"/>
        <w:rPr>
          <w:rFonts w:ascii="Palatino Linotype" w:hAnsi="Palatino Linotype"/>
          <w:sz w:val="18"/>
          <w:szCs w:val="18"/>
        </w:rPr>
      </w:pPr>
      <w:r w:rsidRPr="008D6D11">
        <w:rPr>
          <w:rStyle w:val="FootnoteReference"/>
          <w:rFonts w:ascii="Palatino Linotype" w:hAnsi="Palatino Linotype"/>
          <w:sz w:val="18"/>
          <w:szCs w:val="18"/>
        </w:rPr>
        <w:footnoteRef/>
      </w:r>
      <w:r w:rsidRPr="008D6D11">
        <w:rPr>
          <w:rFonts w:ascii="Palatino Linotype" w:hAnsi="Palatino Linotype"/>
          <w:sz w:val="18"/>
          <w:szCs w:val="18"/>
        </w:rPr>
        <w:t xml:space="preserve"> T. Beck, Evaluating Humanitarian Action using the OECD-DAC Criteria, (ODI, March 2008) Available at</w:t>
      </w:r>
    </w:p>
    <w:p w:rsidR="00C505A1" w:rsidRPr="008D6D11" w:rsidRDefault="00C505A1" w:rsidP="00D13862">
      <w:pPr>
        <w:pStyle w:val="FootnoteText"/>
        <w:jc w:val="both"/>
        <w:rPr>
          <w:rFonts w:ascii="Palatino Linotype" w:hAnsi="Palatino Linotype"/>
          <w:sz w:val="18"/>
          <w:szCs w:val="18"/>
        </w:rPr>
      </w:pPr>
      <w:r w:rsidRPr="00B3090C">
        <w:rPr>
          <w:rFonts w:ascii="Palatino Linotype" w:hAnsi="Palatino Linotype"/>
          <w:sz w:val="18"/>
          <w:szCs w:val="18"/>
        </w:rPr>
        <w:t>http://www.alnap.org/publications/eha_dac/pdfs/eha_2006.pdf</w:t>
      </w:r>
      <w:r w:rsidRPr="008D6D11">
        <w:rPr>
          <w:rFonts w:ascii="Palatino Linotype" w:hAnsi="Palatino Linotype"/>
          <w:sz w:val="18"/>
          <w:szCs w:val="18"/>
        </w:rPr>
        <w:t xml:space="preserve">  </w:t>
      </w:r>
    </w:p>
  </w:footnote>
  <w:footnote w:id="14">
    <w:p w:rsidR="00C505A1" w:rsidRPr="008D6D11" w:rsidRDefault="00C505A1" w:rsidP="00D13862">
      <w:pPr>
        <w:pStyle w:val="FootnoteText"/>
        <w:rPr>
          <w:rFonts w:ascii="Palatino Linotype" w:hAnsi="Palatino Linotype"/>
          <w:sz w:val="18"/>
          <w:szCs w:val="18"/>
        </w:rPr>
      </w:pPr>
      <w:r w:rsidRPr="008D6D11">
        <w:rPr>
          <w:rStyle w:val="FootnoteReference"/>
          <w:rFonts w:ascii="Palatino Linotype" w:hAnsi="Palatino Linotype"/>
          <w:sz w:val="18"/>
          <w:szCs w:val="18"/>
        </w:rPr>
        <w:footnoteRef/>
      </w:r>
      <w:r w:rsidRPr="008D6D11">
        <w:rPr>
          <w:rFonts w:ascii="Palatino Linotype" w:hAnsi="Palatino Linotype"/>
          <w:sz w:val="18"/>
          <w:szCs w:val="18"/>
        </w:rPr>
        <w:t xml:space="preserve"> </w:t>
      </w:r>
      <w:r w:rsidRPr="008D6D11">
        <w:rPr>
          <w:rFonts w:ascii="Palatino Linotype" w:hAnsi="Palatino Linotype"/>
          <w:bCs/>
          <w:iCs/>
          <w:sz w:val="18"/>
          <w:szCs w:val="18"/>
        </w:rPr>
        <w:t>‘A basic theory of change explains how a group of early and intermediate accomplishments sets the stage for producing long-range results. A more complete TOC articulates the assumptions about the process through which change will occur and specifies the ways in which all of the required early and intermediate outcomes related to achieving the desired long-term change will be brought about and documented as they occur.’</w:t>
      </w:r>
      <w:r>
        <w:rPr>
          <w:rFonts w:ascii="Palatino Linotype" w:hAnsi="Palatino Linotype"/>
          <w:bCs/>
          <w:iCs/>
          <w:sz w:val="18"/>
          <w:szCs w:val="18"/>
        </w:rPr>
        <w:t xml:space="preserve"> </w:t>
      </w:r>
      <w:proofErr w:type="gramStart"/>
      <w:r w:rsidRPr="008D6D11">
        <w:rPr>
          <w:rFonts w:ascii="Palatino Linotype" w:hAnsi="Palatino Linotype"/>
          <w:sz w:val="18"/>
          <w:szCs w:val="18"/>
        </w:rPr>
        <w:t>Adapted from Anderson, A. (2005).</w:t>
      </w:r>
      <w:proofErr w:type="gramEnd"/>
      <w:r w:rsidRPr="008D6D11">
        <w:rPr>
          <w:rFonts w:ascii="Palatino Linotype" w:hAnsi="Palatino Linotype"/>
          <w:sz w:val="18"/>
          <w:szCs w:val="18"/>
        </w:rPr>
        <w:t xml:space="preserve"> </w:t>
      </w:r>
    </w:p>
  </w:footnote>
  <w:footnote w:id="15">
    <w:p w:rsidR="00C505A1" w:rsidRPr="008D6D11" w:rsidRDefault="00C505A1" w:rsidP="00C55199">
      <w:pPr>
        <w:pStyle w:val="FootnoteText"/>
        <w:rPr>
          <w:rFonts w:ascii="Palatino Linotype" w:hAnsi="Palatino Linotype"/>
          <w:sz w:val="18"/>
          <w:szCs w:val="18"/>
        </w:rPr>
      </w:pPr>
      <w:r w:rsidRPr="008D6D11">
        <w:rPr>
          <w:rStyle w:val="FootnoteReference"/>
          <w:rFonts w:ascii="Palatino Linotype" w:hAnsi="Palatino Linotype"/>
          <w:sz w:val="18"/>
          <w:szCs w:val="18"/>
        </w:rPr>
        <w:footnoteRef/>
      </w:r>
      <w:r w:rsidRPr="008D6D11">
        <w:rPr>
          <w:rFonts w:ascii="Palatino Linotype" w:hAnsi="Palatino Linotype"/>
          <w:sz w:val="18"/>
          <w:szCs w:val="18"/>
        </w:rPr>
        <w:t xml:space="preserve"> Outcomes are defined as changes in the behaviour, relationships, activities, or actions of the people, groups and organizations with which a p</w:t>
      </w:r>
      <w:r>
        <w:rPr>
          <w:rFonts w:ascii="Palatino Linotype" w:hAnsi="Palatino Linotype"/>
          <w:sz w:val="18"/>
          <w:szCs w:val="18"/>
        </w:rPr>
        <w:t xml:space="preserve">rogramme works directly. These </w:t>
      </w:r>
      <w:r w:rsidRPr="008D6D11">
        <w:rPr>
          <w:rFonts w:ascii="Palatino Linotype" w:hAnsi="Palatino Linotype"/>
          <w:sz w:val="18"/>
          <w:szCs w:val="18"/>
        </w:rPr>
        <w:t>can be logically linked to a programme’s activities, although they are not necessarily directly caused by them. ODI/RAPID, Strategy Development: Outcome Mapping, (January 2009) http://www.odi.org.uk/sites/odi.org.uk/files/odi-assets/publications-opinion-files/6385.pdf</w:t>
      </w:r>
    </w:p>
  </w:footnote>
  <w:footnote w:id="16">
    <w:p w:rsidR="00C505A1" w:rsidRPr="008D6D11" w:rsidRDefault="00C505A1" w:rsidP="00D13862">
      <w:pPr>
        <w:pStyle w:val="FootnoteText"/>
        <w:rPr>
          <w:rFonts w:ascii="Palatino Linotype" w:hAnsi="Palatino Linotype"/>
          <w:sz w:val="18"/>
          <w:szCs w:val="18"/>
        </w:rPr>
      </w:pPr>
      <w:r w:rsidRPr="008D6D11">
        <w:rPr>
          <w:rStyle w:val="FootnoteReference"/>
          <w:rFonts w:ascii="Palatino Linotype" w:hAnsi="Palatino Linotype"/>
          <w:sz w:val="18"/>
          <w:szCs w:val="18"/>
        </w:rPr>
        <w:footnoteRef/>
      </w:r>
      <w:r w:rsidRPr="008D6D11">
        <w:rPr>
          <w:rFonts w:ascii="Palatino Linotype" w:hAnsi="Palatino Linotype"/>
          <w:sz w:val="18"/>
          <w:szCs w:val="18"/>
        </w:rPr>
        <w:t xml:space="preserve"> </w:t>
      </w:r>
      <w:r w:rsidRPr="008D6D11">
        <w:rPr>
          <w:rFonts w:ascii="Palatino Linotype" w:hAnsi="Palatino Linotype"/>
          <w:bCs/>
          <w:iCs/>
          <w:sz w:val="18"/>
          <w:szCs w:val="18"/>
        </w:rPr>
        <w:t xml:space="preserve">As advised by Innovation Network, proving attribution can be costly and difficult. Instead, in the field of advocacy, understanding </w:t>
      </w:r>
      <w:r w:rsidRPr="008D6D11">
        <w:rPr>
          <w:rFonts w:ascii="Palatino Linotype" w:hAnsi="Palatino Linotype"/>
          <w:bCs/>
          <w:i/>
          <w:iCs/>
          <w:sz w:val="18"/>
          <w:szCs w:val="18"/>
        </w:rPr>
        <w:t xml:space="preserve">contribution </w:t>
      </w:r>
      <w:r w:rsidRPr="008D6D11">
        <w:rPr>
          <w:rFonts w:ascii="Palatino Linotype" w:hAnsi="Palatino Linotype"/>
          <w:bCs/>
          <w:iCs/>
          <w:sz w:val="18"/>
          <w:szCs w:val="18"/>
        </w:rPr>
        <w:t xml:space="preserve">yields useful information without alienating partners or unnecessarily depleting resources. </w:t>
      </w:r>
      <w:proofErr w:type="gramStart"/>
      <w:r w:rsidRPr="008D6D11">
        <w:rPr>
          <w:rFonts w:ascii="Palatino Linotype" w:hAnsi="Palatino Linotype"/>
          <w:sz w:val="18"/>
          <w:szCs w:val="18"/>
        </w:rPr>
        <w:t xml:space="preserve">Innovation Network, The Practical Guide to Advocacy Evaluation, available at </w:t>
      </w:r>
      <w:r w:rsidRPr="00B3090C">
        <w:rPr>
          <w:rFonts w:ascii="Palatino Linotype" w:hAnsi="Palatino Linotype"/>
          <w:sz w:val="18"/>
          <w:szCs w:val="18"/>
        </w:rPr>
        <w:t>http://www.innonet.org/client_docs/File/advocacy/pathfinder_evaluator_web.pdf</w:t>
      </w:r>
      <w:r w:rsidRPr="008D6D11">
        <w:rPr>
          <w:rStyle w:val="Hyperlink"/>
          <w:rFonts w:ascii="Palatino Linotype" w:hAnsi="Palatino Linotype"/>
          <w:sz w:val="18"/>
          <w:szCs w:val="18"/>
        </w:rPr>
        <w:t>.</w:t>
      </w:r>
      <w:proofErr w:type="gramEnd"/>
      <w:r w:rsidRPr="008D6D11">
        <w:rPr>
          <w:rStyle w:val="Hyperlink"/>
          <w:rFonts w:ascii="Palatino Linotype" w:hAnsi="Palatino Linotype"/>
          <w:color w:val="auto"/>
          <w:sz w:val="18"/>
          <w:szCs w:val="18"/>
          <w:u w:val="none"/>
        </w:rPr>
        <w:t xml:space="preserve"> This approach is also central to </w:t>
      </w:r>
      <w:r w:rsidRPr="008D6D11">
        <w:rPr>
          <w:rFonts w:ascii="Palatino Linotype" w:hAnsi="Palatino Linotype"/>
          <w:sz w:val="18"/>
          <w:szCs w:val="18"/>
        </w:rPr>
        <w:t xml:space="preserve">outcome mapping, </w:t>
      </w:r>
      <w:r>
        <w:rPr>
          <w:rFonts w:ascii="Palatino Linotype" w:hAnsi="Palatino Linotype"/>
          <w:sz w:val="18"/>
          <w:szCs w:val="18"/>
        </w:rPr>
        <w:t xml:space="preserve">which holds that </w:t>
      </w:r>
      <w:r w:rsidRPr="008D6D11">
        <w:rPr>
          <w:rFonts w:ascii="Palatino Linotype" w:hAnsi="Palatino Linotype"/>
          <w:sz w:val="18"/>
          <w:szCs w:val="18"/>
        </w:rPr>
        <w:t>a programme is not claiming the achievement of development impacts; rather, the focus is on the contributions to outcomes. These outcomes, in turn, enhance the possibility of development impacts – but the relationship is not necessarily a direct one of cause and effect. ODI/RAPID, Strategy Development: Outcome Mapping, (January 2009) http://www.odi.org.uk/sites/odi.org.uk/files/odi-assets/publications-opinion-files/6385.pdf</w:t>
      </w:r>
    </w:p>
  </w:footnote>
  <w:footnote w:id="17">
    <w:p w:rsidR="00C505A1" w:rsidRPr="008D6D11" w:rsidRDefault="00C505A1">
      <w:pPr>
        <w:pStyle w:val="FootnoteText"/>
        <w:rPr>
          <w:rFonts w:ascii="Palatino Linotype" w:hAnsi="Palatino Linotype"/>
          <w:sz w:val="18"/>
          <w:szCs w:val="18"/>
        </w:rPr>
      </w:pPr>
      <w:r w:rsidRPr="008D6D11">
        <w:rPr>
          <w:rStyle w:val="FootnoteReference"/>
          <w:rFonts w:ascii="Palatino Linotype" w:hAnsi="Palatino Linotype"/>
          <w:sz w:val="18"/>
          <w:szCs w:val="18"/>
        </w:rPr>
        <w:footnoteRef/>
      </w:r>
      <w:r w:rsidRPr="008D6D11">
        <w:rPr>
          <w:rFonts w:ascii="Palatino Linotype" w:hAnsi="Palatino Linotype"/>
          <w:sz w:val="18"/>
          <w:szCs w:val="18"/>
        </w:rPr>
        <w:t xml:space="preserve"> </w:t>
      </w:r>
      <w:proofErr w:type="gramStart"/>
      <w:r w:rsidRPr="008D6D11">
        <w:rPr>
          <w:rFonts w:ascii="Palatino Linotype" w:hAnsi="Palatino Linotype"/>
          <w:sz w:val="18"/>
          <w:szCs w:val="18"/>
        </w:rPr>
        <w:t>Those individuals, groups and organizations with which the programme interacts directly and with which the programme anticipates opportunities for influence.</w:t>
      </w:r>
      <w:proofErr w:type="gramEnd"/>
      <w:r w:rsidRPr="008D6D11">
        <w:rPr>
          <w:rFonts w:ascii="Palatino Linotype" w:hAnsi="Palatino Linotype"/>
          <w:sz w:val="18"/>
          <w:szCs w:val="18"/>
        </w:rPr>
        <w:t xml:space="preserve"> ODI/RAPID, Strategy Development: Outcome Mapping, (January 2009) http://www.odi.org.uk/sites/odi.org.uk/files/odi-assets/publications-opinion-files/6385.pdf</w:t>
      </w:r>
    </w:p>
  </w:footnote>
  <w:footnote w:id="18">
    <w:p w:rsidR="00C505A1" w:rsidRDefault="00C505A1" w:rsidP="00A40AB2">
      <w:pPr>
        <w:pStyle w:val="FootnoteText"/>
      </w:pPr>
      <w:r>
        <w:rPr>
          <w:rStyle w:val="FootnoteReference"/>
        </w:rPr>
        <w:footnoteRef/>
      </w:r>
      <w:r>
        <w:t xml:space="preserve"> </w:t>
      </w:r>
      <w:r w:rsidRPr="00A40AB2">
        <w:t xml:space="preserve">In November 2010, the IASC WG requested that Cluster Lead Agencies, </w:t>
      </w:r>
      <w:proofErr w:type="spellStart"/>
      <w:r w:rsidRPr="00A40AB2">
        <w:t>HelpAge</w:t>
      </w:r>
      <w:proofErr w:type="spellEnd"/>
      <w:r w:rsidRPr="00A40AB2">
        <w:t xml:space="preserve"> and interested partners to develop training materials, best practice guidelines, awareness raising and sensitization material, to support the </w:t>
      </w:r>
      <w:proofErr w:type="spellStart"/>
      <w:r w:rsidRPr="00A40AB2">
        <w:t>operationalisation</w:t>
      </w:r>
      <w:proofErr w:type="spellEnd"/>
      <w:r w:rsidRPr="00A40AB2">
        <w:t xml:space="preserve"> of the IASC Guidance on Older Persons. </w:t>
      </w:r>
      <w:r>
        <w:t>IASC, 78th IASC Working Group Meeting, Final Action Points and Conclusions (10-12 November 2010)</w:t>
      </w:r>
    </w:p>
  </w:footnote>
  <w:footnote w:id="19">
    <w:p w:rsidR="00C505A1" w:rsidRDefault="00C505A1">
      <w:pPr>
        <w:pStyle w:val="FootnoteText"/>
      </w:pPr>
      <w:r>
        <w:rPr>
          <w:rStyle w:val="FootnoteReference"/>
        </w:rPr>
        <w:footnoteRef/>
      </w:r>
      <w:r>
        <w:t xml:space="preserve"> HAI/</w:t>
      </w:r>
      <w:r w:rsidRPr="00667D85">
        <w:t>WWE Strategic Plan 2010-2015</w:t>
      </w:r>
      <w:r>
        <w:t xml:space="preserve">, </w:t>
      </w:r>
      <w:r w:rsidRPr="00667D85">
        <w:t>July 2010</w:t>
      </w:r>
    </w:p>
  </w:footnote>
  <w:footnote w:id="20">
    <w:p w:rsidR="00C505A1" w:rsidRDefault="00C505A1">
      <w:pPr>
        <w:pStyle w:val="FootnoteText"/>
      </w:pPr>
      <w:r>
        <w:rPr>
          <w:rStyle w:val="FootnoteReference"/>
        </w:rPr>
        <w:footnoteRef/>
      </w:r>
      <w:r>
        <w:t xml:space="preserve"> Figure provided by HAI in final report to ECHO</w:t>
      </w:r>
    </w:p>
  </w:footnote>
  <w:footnote w:id="21">
    <w:p w:rsidR="00C505A1" w:rsidRDefault="00C505A1">
      <w:pPr>
        <w:pStyle w:val="FootnoteText"/>
      </w:pPr>
      <w:r>
        <w:rPr>
          <w:rStyle w:val="FootnoteReference"/>
        </w:rPr>
        <w:footnoteRef/>
      </w:r>
      <w:r>
        <w:t xml:space="preserve"> </w:t>
      </w:r>
      <w:r w:rsidRPr="00B13451">
        <w:t xml:space="preserve">HAI and IDMC, The Neglected Generation: The Impact of Displacement on Older People, (Jointly published by </w:t>
      </w:r>
      <w:proofErr w:type="spellStart"/>
      <w:r w:rsidRPr="00B13451">
        <w:t>HelpAge</w:t>
      </w:r>
      <w:proofErr w:type="spellEnd"/>
      <w:r w:rsidRPr="00B13451">
        <w:t xml:space="preserve"> International and the Internal Displacement Monitoring Centre, 2012)</w:t>
      </w:r>
    </w:p>
  </w:footnote>
  <w:footnote w:id="22">
    <w:p w:rsidR="00C505A1" w:rsidRDefault="00C505A1">
      <w:pPr>
        <w:pStyle w:val="FootnoteText"/>
      </w:pPr>
      <w:r>
        <w:rPr>
          <w:rStyle w:val="FootnoteReference"/>
        </w:rPr>
        <w:footnoteRef/>
      </w:r>
      <w:r>
        <w:t xml:space="preserve"> </w:t>
      </w:r>
      <w:r w:rsidRPr="00E32993">
        <w:rPr>
          <w:bCs/>
        </w:rPr>
        <w:t>HAI and HI (2012), A study of humanitarian financing for older people and people with disabilities, 2010–2011, (</w:t>
      </w:r>
      <w:r w:rsidRPr="00E32993">
        <w:t xml:space="preserve">Published by </w:t>
      </w:r>
      <w:proofErr w:type="spellStart"/>
      <w:r w:rsidRPr="00E32993">
        <w:t>HelpAge</w:t>
      </w:r>
      <w:proofErr w:type="spellEnd"/>
      <w:r w:rsidRPr="00E32993">
        <w:t xml:space="preserve"> International, London and Handicap International, Lyon, February 2012)</w:t>
      </w:r>
    </w:p>
  </w:footnote>
  <w:footnote w:id="23">
    <w:p w:rsidR="00C505A1" w:rsidRDefault="00C505A1" w:rsidP="00367F91">
      <w:pPr>
        <w:spacing w:after="0" w:line="240" w:lineRule="auto"/>
      </w:pPr>
      <w:r>
        <w:rPr>
          <w:rStyle w:val="FootnoteReference"/>
        </w:rPr>
        <w:footnoteRef/>
      </w:r>
      <w:r>
        <w:t xml:space="preserve"> </w:t>
      </w:r>
      <w:r w:rsidRPr="00023757">
        <w:rPr>
          <w:rFonts w:ascii="Palatino Linotype" w:hAnsi="Palatino Linotype"/>
          <w:sz w:val="18"/>
          <w:szCs w:val="18"/>
        </w:rPr>
        <w:t xml:space="preserve">Inter-cluster coordination </w:t>
      </w:r>
      <w:r>
        <w:rPr>
          <w:rFonts w:ascii="Palatino Linotype" w:hAnsi="Palatino Linotype"/>
          <w:sz w:val="18"/>
          <w:szCs w:val="18"/>
        </w:rPr>
        <w:t>is ‘</w:t>
      </w:r>
      <w:r w:rsidRPr="00023757">
        <w:rPr>
          <w:rFonts w:ascii="Palatino Linotype" w:hAnsi="Palatino Linotype"/>
          <w:sz w:val="18"/>
          <w:szCs w:val="18"/>
        </w:rPr>
        <w:t xml:space="preserve">ineffective in most cases and there is little integration of cross-cutting issues. </w:t>
      </w:r>
      <w:r>
        <w:rPr>
          <w:rFonts w:ascii="Palatino Linotype" w:hAnsi="Palatino Linotype"/>
          <w:sz w:val="18"/>
          <w:szCs w:val="18"/>
        </w:rPr>
        <w:t xml:space="preserve">(…) </w:t>
      </w:r>
      <w:r w:rsidRPr="00023757">
        <w:rPr>
          <w:rFonts w:ascii="Palatino Linotype" w:hAnsi="Palatino Linotype"/>
          <w:sz w:val="18"/>
          <w:szCs w:val="18"/>
        </w:rPr>
        <w:t>Multidimensional and cross-cutting issues are neglected in most assessments and are not sufficiently taken into account in the humanitarian response in the case study countries.</w:t>
      </w:r>
      <w:r>
        <w:rPr>
          <w:rFonts w:ascii="Palatino Linotype" w:hAnsi="Palatino Linotype"/>
          <w:sz w:val="18"/>
          <w:szCs w:val="18"/>
        </w:rPr>
        <w:t>’</w:t>
      </w:r>
      <w:r w:rsidRPr="00023757">
        <w:rPr>
          <w:rFonts w:ascii="Palatino Linotype" w:hAnsi="Palatino Linotype"/>
          <w:sz w:val="18"/>
          <w:szCs w:val="18"/>
        </w:rPr>
        <w:t xml:space="preserve"> </w:t>
      </w:r>
      <w:r>
        <w:rPr>
          <w:rFonts w:ascii="Palatino Linotype" w:hAnsi="Palatino Linotype"/>
          <w:sz w:val="18"/>
          <w:szCs w:val="18"/>
        </w:rPr>
        <w:t xml:space="preserve">Recommendations for improvement </w:t>
      </w:r>
      <w:r w:rsidRPr="00023757">
        <w:rPr>
          <w:rFonts w:ascii="Palatino Linotype" w:eastAsia="Times New Roman" w:hAnsi="Palatino Linotype" w:cs="Times New Roman"/>
          <w:color w:val="000000"/>
          <w:sz w:val="18"/>
          <w:szCs w:val="18"/>
          <w:lang w:eastAsia="en-GB"/>
        </w:rPr>
        <w:t>all focus on needs analysis</w:t>
      </w:r>
      <w:r>
        <w:rPr>
          <w:rFonts w:ascii="Palatino Linotype" w:eastAsia="Times New Roman" w:hAnsi="Palatino Linotype" w:cs="Times New Roman"/>
          <w:color w:val="000000"/>
          <w:sz w:val="18"/>
          <w:szCs w:val="18"/>
          <w:lang w:eastAsia="en-GB"/>
        </w:rPr>
        <w:t xml:space="preserve"> as </w:t>
      </w:r>
      <w:r w:rsidRPr="00023757">
        <w:rPr>
          <w:rFonts w:ascii="Palatino Linotype" w:eastAsia="Times New Roman" w:hAnsi="Palatino Linotype" w:cs="Times New Roman"/>
          <w:color w:val="000000"/>
          <w:sz w:val="18"/>
          <w:szCs w:val="18"/>
          <w:lang w:eastAsia="en-GB"/>
        </w:rPr>
        <w:t>a critical step in the humanitarian programming cycle.</w:t>
      </w:r>
      <w:r>
        <w:rPr>
          <w:rFonts w:ascii="Palatino Linotype" w:eastAsia="Times New Roman" w:hAnsi="Palatino Linotype" w:cs="Times New Roman"/>
          <w:color w:val="000000"/>
          <w:sz w:val="18"/>
          <w:szCs w:val="18"/>
          <w:lang w:eastAsia="en-GB"/>
        </w:rPr>
        <w:t xml:space="preserve"> </w:t>
      </w:r>
      <w:proofErr w:type="spellStart"/>
      <w:r w:rsidRPr="00023757">
        <w:rPr>
          <w:rFonts w:ascii="Palatino Linotype" w:eastAsia="Times New Roman" w:hAnsi="Palatino Linotype" w:cs="Times New Roman"/>
          <w:color w:val="000000"/>
          <w:sz w:val="18"/>
          <w:szCs w:val="18"/>
          <w:lang w:eastAsia="en-GB"/>
        </w:rPr>
        <w:t>Groupe</w:t>
      </w:r>
      <w:proofErr w:type="spellEnd"/>
      <w:r w:rsidRPr="00023757">
        <w:rPr>
          <w:rFonts w:ascii="Palatino Linotype" w:eastAsia="Times New Roman" w:hAnsi="Palatino Linotype" w:cs="Times New Roman"/>
          <w:color w:val="000000"/>
          <w:sz w:val="18"/>
          <w:szCs w:val="18"/>
          <w:lang w:eastAsia="en-GB"/>
        </w:rPr>
        <w:t xml:space="preserve"> URD and GPPI</w:t>
      </w:r>
      <w:r>
        <w:rPr>
          <w:rFonts w:ascii="Palatino Linotype" w:eastAsia="Times New Roman" w:hAnsi="Palatino Linotype" w:cs="Times New Roman"/>
          <w:color w:val="000000"/>
          <w:sz w:val="18"/>
          <w:szCs w:val="18"/>
          <w:lang w:eastAsia="en-GB"/>
        </w:rPr>
        <w:t xml:space="preserve">, </w:t>
      </w:r>
      <w:r w:rsidRPr="00023757">
        <w:rPr>
          <w:rFonts w:ascii="Palatino Linotype" w:eastAsia="Times New Roman" w:hAnsi="Palatino Linotype" w:cs="Times New Roman"/>
          <w:color w:val="000000"/>
          <w:sz w:val="18"/>
          <w:szCs w:val="18"/>
          <w:lang w:eastAsia="en-GB"/>
        </w:rPr>
        <w:t>Cluster Approach Evaluation 2: Synthesis Report</w:t>
      </w:r>
      <w:r>
        <w:rPr>
          <w:rFonts w:ascii="Palatino Linotype" w:eastAsia="Times New Roman" w:hAnsi="Palatino Linotype" w:cs="Times New Roman"/>
          <w:color w:val="000000"/>
          <w:sz w:val="18"/>
          <w:szCs w:val="18"/>
          <w:lang w:eastAsia="en-GB"/>
        </w:rPr>
        <w:t xml:space="preserve"> (</w:t>
      </w:r>
      <w:r w:rsidRPr="00023757">
        <w:rPr>
          <w:rFonts w:ascii="Palatino Linotype" w:eastAsia="Times New Roman" w:hAnsi="Palatino Linotype" w:cs="Times New Roman"/>
          <w:color w:val="000000"/>
          <w:sz w:val="18"/>
          <w:szCs w:val="18"/>
          <w:lang w:eastAsia="en-GB"/>
        </w:rPr>
        <w:t>IASC Cluster Approach Evaluation, 2nd Phase April 2010</w:t>
      </w:r>
      <w:r>
        <w:rPr>
          <w:rFonts w:ascii="Palatino Linotype" w:eastAsia="Times New Roman" w:hAnsi="Palatino Linotype" w:cs="Times New Roman"/>
          <w:color w:val="000000"/>
          <w:sz w:val="18"/>
          <w:szCs w:val="18"/>
          <w:lang w:eastAsia="en-GB"/>
        </w:rPr>
        <w:t>)</w:t>
      </w:r>
      <w:r w:rsidRPr="00023757">
        <w:rPr>
          <w:rFonts w:ascii="Palatino Linotype" w:eastAsia="Times New Roman" w:hAnsi="Palatino Linotype" w:cs="Times New Roman"/>
          <w:color w:val="000000"/>
          <w:sz w:val="18"/>
          <w:szCs w:val="18"/>
          <w:lang w:eastAsia="en-GB"/>
        </w:rPr>
        <w:t xml:space="preserve"> N.B. </w:t>
      </w:r>
    </w:p>
  </w:footnote>
  <w:footnote w:id="24">
    <w:p w:rsidR="00C505A1" w:rsidRPr="00172AEC" w:rsidRDefault="00C505A1" w:rsidP="00172AEC">
      <w:pPr>
        <w:pStyle w:val="FootnoteText"/>
        <w:rPr>
          <w:rFonts w:ascii="Palatino Linotype" w:hAnsi="Palatino Linotype"/>
          <w:sz w:val="18"/>
          <w:szCs w:val="18"/>
        </w:rPr>
      </w:pPr>
      <w:r w:rsidRPr="00172AEC">
        <w:rPr>
          <w:rStyle w:val="FootnoteReference"/>
          <w:rFonts w:ascii="Palatino Linotype" w:hAnsi="Palatino Linotype"/>
          <w:sz w:val="18"/>
          <w:szCs w:val="18"/>
        </w:rPr>
        <w:footnoteRef/>
      </w:r>
      <w:r w:rsidRPr="00172AEC">
        <w:rPr>
          <w:rFonts w:ascii="Palatino Linotype" w:hAnsi="Palatino Linotype"/>
          <w:sz w:val="18"/>
          <w:szCs w:val="18"/>
        </w:rPr>
        <w:t xml:space="preserve"> IASC, 78th IASC Working Group Meeting, Final Action Points and Conclusions (10-12 November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728"/>
    <w:multiLevelType w:val="hybridMultilevel"/>
    <w:tmpl w:val="F48A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6F205B"/>
    <w:multiLevelType w:val="hybridMultilevel"/>
    <w:tmpl w:val="D40095B4"/>
    <w:lvl w:ilvl="0" w:tplc="4B5A26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162DA"/>
    <w:multiLevelType w:val="hybridMultilevel"/>
    <w:tmpl w:val="D266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E7635F"/>
    <w:multiLevelType w:val="multilevel"/>
    <w:tmpl w:val="125A752A"/>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F46A19"/>
    <w:multiLevelType w:val="hybridMultilevel"/>
    <w:tmpl w:val="196EF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527219"/>
    <w:multiLevelType w:val="hybridMultilevel"/>
    <w:tmpl w:val="0492A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402F2C"/>
    <w:multiLevelType w:val="hybridMultilevel"/>
    <w:tmpl w:val="BCD0E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A766B7"/>
    <w:multiLevelType w:val="hybridMultilevel"/>
    <w:tmpl w:val="92A67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58598C"/>
    <w:multiLevelType w:val="hybridMultilevel"/>
    <w:tmpl w:val="A6DCD5A8"/>
    <w:lvl w:ilvl="0" w:tplc="5D04EF66">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5A275B"/>
    <w:multiLevelType w:val="hybridMultilevel"/>
    <w:tmpl w:val="200817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1D1F6FD7"/>
    <w:multiLevelType w:val="hybridMultilevel"/>
    <w:tmpl w:val="BBCAC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F0E16A6"/>
    <w:multiLevelType w:val="hybridMultilevel"/>
    <w:tmpl w:val="2ACC3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BE7FFB"/>
    <w:multiLevelType w:val="hybridMultilevel"/>
    <w:tmpl w:val="0F267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2280F0A"/>
    <w:multiLevelType w:val="hybridMultilevel"/>
    <w:tmpl w:val="687E4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30943E9"/>
    <w:multiLevelType w:val="hybridMultilevel"/>
    <w:tmpl w:val="26D4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7FE77B2"/>
    <w:multiLevelType w:val="hybridMultilevel"/>
    <w:tmpl w:val="64988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9BA7455"/>
    <w:multiLevelType w:val="hybridMultilevel"/>
    <w:tmpl w:val="4FA62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D92C0D"/>
    <w:multiLevelType w:val="hybridMultilevel"/>
    <w:tmpl w:val="3AB46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D3E6540"/>
    <w:multiLevelType w:val="hybridMultilevel"/>
    <w:tmpl w:val="19402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FA87FF4"/>
    <w:multiLevelType w:val="hybridMultilevel"/>
    <w:tmpl w:val="F8465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4C22ABF"/>
    <w:multiLevelType w:val="hybridMultilevel"/>
    <w:tmpl w:val="186C3B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A61AD3"/>
    <w:multiLevelType w:val="hybridMultilevel"/>
    <w:tmpl w:val="77706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14A64C9"/>
    <w:multiLevelType w:val="hybridMultilevel"/>
    <w:tmpl w:val="850A3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17F5741"/>
    <w:multiLevelType w:val="multilevel"/>
    <w:tmpl w:val="26A00F52"/>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7C3F8F"/>
    <w:multiLevelType w:val="hybridMultilevel"/>
    <w:tmpl w:val="3F200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48D1A21"/>
    <w:multiLevelType w:val="hybridMultilevel"/>
    <w:tmpl w:val="1A4C5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C90AC2"/>
    <w:multiLevelType w:val="hybridMultilevel"/>
    <w:tmpl w:val="C0400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0963F92"/>
    <w:multiLevelType w:val="hybridMultilevel"/>
    <w:tmpl w:val="937E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28F7AAE"/>
    <w:multiLevelType w:val="multilevel"/>
    <w:tmpl w:val="5FB2B73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578B41FA"/>
    <w:multiLevelType w:val="multilevel"/>
    <w:tmpl w:val="C7C45B5E"/>
    <w:lvl w:ilvl="0">
      <w:start w:val="6"/>
      <w:numFmt w:val="decimal"/>
      <w:lvlText w:val="%1.0)"/>
      <w:lvlJc w:val="left"/>
      <w:pPr>
        <w:ind w:left="720" w:hanging="720"/>
      </w:pPr>
      <w:rPr>
        <w:rFonts w:hint="default"/>
        <w:b/>
        <w:color w:val="000000"/>
      </w:rPr>
    </w:lvl>
    <w:lvl w:ilvl="1">
      <w:start w:val="1"/>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abstractNum w:abstractNumId="30">
    <w:nsid w:val="5A89721F"/>
    <w:multiLevelType w:val="hybridMultilevel"/>
    <w:tmpl w:val="A74A5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nsid w:val="6045007C"/>
    <w:multiLevelType w:val="hybridMultilevel"/>
    <w:tmpl w:val="96861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1C810E4"/>
    <w:multiLevelType w:val="hybridMultilevel"/>
    <w:tmpl w:val="7C16E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3BB5579"/>
    <w:multiLevelType w:val="hybridMultilevel"/>
    <w:tmpl w:val="8AC2A0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5AD5FEC"/>
    <w:multiLevelType w:val="multilevel"/>
    <w:tmpl w:val="5896C460"/>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FC1177C"/>
    <w:multiLevelType w:val="hybridMultilevel"/>
    <w:tmpl w:val="64081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0CF0E25"/>
    <w:multiLevelType w:val="hybridMultilevel"/>
    <w:tmpl w:val="2856D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1C6063B"/>
    <w:multiLevelType w:val="hybridMultilevel"/>
    <w:tmpl w:val="5F90B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8C15E11"/>
    <w:multiLevelType w:val="hybridMultilevel"/>
    <w:tmpl w:val="E5B4B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CF6387F"/>
    <w:multiLevelType w:val="hybridMultilevel"/>
    <w:tmpl w:val="60E00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5"/>
  </w:num>
  <w:num w:numId="3">
    <w:abstractNumId w:val="30"/>
  </w:num>
  <w:num w:numId="4">
    <w:abstractNumId w:val="38"/>
  </w:num>
  <w:num w:numId="5">
    <w:abstractNumId w:val="7"/>
  </w:num>
  <w:num w:numId="6">
    <w:abstractNumId w:val="18"/>
  </w:num>
  <w:num w:numId="7">
    <w:abstractNumId w:val="14"/>
  </w:num>
  <w:num w:numId="8">
    <w:abstractNumId w:val="17"/>
  </w:num>
  <w:num w:numId="9">
    <w:abstractNumId w:val="25"/>
  </w:num>
  <w:num w:numId="10">
    <w:abstractNumId w:val="13"/>
  </w:num>
  <w:num w:numId="11">
    <w:abstractNumId w:val="2"/>
  </w:num>
  <w:num w:numId="12">
    <w:abstractNumId w:val="11"/>
  </w:num>
  <w:num w:numId="13">
    <w:abstractNumId w:val="36"/>
  </w:num>
  <w:num w:numId="14">
    <w:abstractNumId w:val="39"/>
  </w:num>
  <w:num w:numId="15">
    <w:abstractNumId w:val="26"/>
  </w:num>
  <w:num w:numId="16">
    <w:abstractNumId w:val="27"/>
  </w:num>
  <w:num w:numId="17">
    <w:abstractNumId w:val="12"/>
  </w:num>
  <w:num w:numId="18">
    <w:abstractNumId w:val="33"/>
  </w:num>
  <w:num w:numId="19">
    <w:abstractNumId w:val="20"/>
  </w:num>
  <w:num w:numId="20">
    <w:abstractNumId w:val="1"/>
  </w:num>
  <w:num w:numId="21">
    <w:abstractNumId w:val="34"/>
  </w:num>
  <w:num w:numId="22">
    <w:abstractNumId w:val="8"/>
  </w:num>
  <w:num w:numId="23">
    <w:abstractNumId w:val="29"/>
  </w:num>
  <w:num w:numId="24">
    <w:abstractNumId w:val="28"/>
  </w:num>
  <w:num w:numId="25">
    <w:abstractNumId w:val="23"/>
  </w:num>
  <w:num w:numId="26">
    <w:abstractNumId w:val="3"/>
  </w:num>
  <w:num w:numId="27">
    <w:abstractNumId w:val="21"/>
  </w:num>
  <w:num w:numId="28">
    <w:abstractNumId w:val="31"/>
  </w:num>
  <w:num w:numId="29">
    <w:abstractNumId w:val="15"/>
  </w:num>
  <w:num w:numId="30">
    <w:abstractNumId w:val="0"/>
  </w:num>
  <w:num w:numId="31">
    <w:abstractNumId w:val="9"/>
  </w:num>
  <w:num w:numId="32">
    <w:abstractNumId w:val="32"/>
  </w:num>
  <w:num w:numId="33">
    <w:abstractNumId w:val="6"/>
  </w:num>
  <w:num w:numId="34">
    <w:abstractNumId w:val="16"/>
  </w:num>
  <w:num w:numId="35">
    <w:abstractNumId w:val="37"/>
  </w:num>
  <w:num w:numId="36">
    <w:abstractNumId w:val="4"/>
  </w:num>
  <w:num w:numId="37">
    <w:abstractNumId w:val="19"/>
  </w:num>
  <w:num w:numId="38">
    <w:abstractNumId w:val="22"/>
  </w:num>
  <w:num w:numId="39">
    <w:abstractNumId w:val="24"/>
  </w:num>
  <w:num w:numId="4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BF"/>
    <w:rsid w:val="00003DF7"/>
    <w:rsid w:val="00021432"/>
    <w:rsid w:val="0002193A"/>
    <w:rsid w:val="00023757"/>
    <w:rsid w:val="00026A07"/>
    <w:rsid w:val="0003780D"/>
    <w:rsid w:val="00037CF1"/>
    <w:rsid w:val="000529FD"/>
    <w:rsid w:val="00063197"/>
    <w:rsid w:val="00067002"/>
    <w:rsid w:val="00093D53"/>
    <w:rsid w:val="00093FC8"/>
    <w:rsid w:val="000A2B9A"/>
    <w:rsid w:val="000A5A3E"/>
    <w:rsid w:val="000B5EF3"/>
    <w:rsid w:val="000B7C96"/>
    <w:rsid w:val="000C070A"/>
    <w:rsid w:val="000C237D"/>
    <w:rsid w:val="000C3C4B"/>
    <w:rsid w:val="000C3DB3"/>
    <w:rsid w:val="000D33A5"/>
    <w:rsid w:val="000D6EB2"/>
    <w:rsid w:val="000E5D88"/>
    <w:rsid w:val="000E71A1"/>
    <w:rsid w:val="000F274E"/>
    <w:rsid w:val="000F6D22"/>
    <w:rsid w:val="000F6F5A"/>
    <w:rsid w:val="000F7B9E"/>
    <w:rsid w:val="00102408"/>
    <w:rsid w:val="0010256B"/>
    <w:rsid w:val="00103B64"/>
    <w:rsid w:val="00105903"/>
    <w:rsid w:val="001064E9"/>
    <w:rsid w:val="00107693"/>
    <w:rsid w:val="00115850"/>
    <w:rsid w:val="00116F90"/>
    <w:rsid w:val="001175F8"/>
    <w:rsid w:val="0013049F"/>
    <w:rsid w:val="00132FDD"/>
    <w:rsid w:val="001376C0"/>
    <w:rsid w:val="00141E59"/>
    <w:rsid w:val="00142104"/>
    <w:rsid w:val="001445C9"/>
    <w:rsid w:val="00145431"/>
    <w:rsid w:val="00146504"/>
    <w:rsid w:val="00151DCD"/>
    <w:rsid w:val="001523AF"/>
    <w:rsid w:val="00154E6D"/>
    <w:rsid w:val="0016112D"/>
    <w:rsid w:val="001641B2"/>
    <w:rsid w:val="00164757"/>
    <w:rsid w:val="00170DA7"/>
    <w:rsid w:val="0017152B"/>
    <w:rsid w:val="00172AEC"/>
    <w:rsid w:val="00173A9C"/>
    <w:rsid w:val="001773DC"/>
    <w:rsid w:val="00191F27"/>
    <w:rsid w:val="001A72EF"/>
    <w:rsid w:val="001C363D"/>
    <w:rsid w:val="001C757C"/>
    <w:rsid w:val="001D3595"/>
    <w:rsid w:val="001D48A4"/>
    <w:rsid w:val="001D5B1C"/>
    <w:rsid w:val="001D608F"/>
    <w:rsid w:val="001E0B56"/>
    <w:rsid w:val="001F052E"/>
    <w:rsid w:val="001F0E13"/>
    <w:rsid w:val="001F0F4B"/>
    <w:rsid w:val="001F377D"/>
    <w:rsid w:val="001F5E27"/>
    <w:rsid w:val="001F6D17"/>
    <w:rsid w:val="001F7450"/>
    <w:rsid w:val="0020344C"/>
    <w:rsid w:val="00203632"/>
    <w:rsid w:val="002048BA"/>
    <w:rsid w:val="002122F3"/>
    <w:rsid w:val="00213E63"/>
    <w:rsid w:val="002175BA"/>
    <w:rsid w:val="00237CD7"/>
    <w:rsid w:val="0024628F"/>
    <w:rsid w:val="00254635"/>
    <w:rsid w:val="002556F2"/>
    <w:rsid w:val="00264696"/>
    <w:rsid w:val="00276A4B"/>
    <w:rsid w:val="00277F17"/>
    <w:rsid w:val="002822A2"/>
    <w:rsid w:val="00286113"/>
    <w:rsid w:val="00290473"/>
    <w:rsid w:val="002916E5"/>
    <w:rsid w:val="0029391E"/>
    <w:rsid w:val="002A16EE"/>
    <w:rsid w:val="002A6E72"/>
    <w:rsid w:val="002B5569"/>
    <w:rsid w:val="002B6362"/>
    <w:rsid w:val="002C1686"/>
    <w:rsid w:val="002C6659"/>
    <w:rsid w:val="002C66E2"/>
    <w:rsid w:val="002D0AA0"/>
    <w:rsid w:val="002D46E4"/>
    <w:rsid w:val="002D598A"/>
    <w:rsid w:val="002D7CEC"/>
    <w:rsid w:val="002F4485"/>
    <w:rsid w:val="002F4601"/>
    <w:rsid w:val="002F46A2"/>
    <w:rsid w:val="002F757E"/>
    <w:rsid w:val="00301DCB"/>
    <w:rsid w:val="00304441"/>
    <w:rsid w:val="00306348"/>
    <w:rsid w:val="003122FE"/>
    <w:rsid w:val="00331269"/>
    <w:rsid w:val="00340E3A"/>
    <w:rsid w:val="00341711"/>
    <w:rsid w:val="00341F4B"/>
    <w:rsid w:val="003424BB"/>
    <w:rsid w:val="0035337F"/>
    <w:rsid w:val="00355578"/>
    <w:rsid w:val="0036020A"/>
    <w:rsid w:val="003612E3"/>
    <w:rsid w:val="0036213D"/>
    <w:rsid w:val="0036324D"/>
    <w:rsid w:val="003633BD"/>
    <w:rsid w:val="0036576B"/>
    <w:rsid w:val="00367F91"/>
    <w:rsid w:val="003713D2"/>
    <w:rsid w:val="00372C3A"/>
    <w:rsid w:val="00385012"/>
    <w:rsid w:val="003862FE"/>
    <w:rsid w:val="00390758"/>
    <w:rsid w:val="00391455"/>
    <w:rsid w:val="003935A2"/>
    <w:rsid w:val="003954C1"/>
    <w:rsid w:val="00395A4F"/>
    <w:rsid w:val="003A0205"/>
    <w:rsid w:val="003A098D"/>
    <w:rsid w:val="003A19B8"/>
    <w:rsid w:val="003A1EB2"/>
    <w:rsid w:val="003A47CE"/>
    <w:rsid w:val="003B4176"/>
    <w:rsid w:val="003B637B"/>
    <w:rsid w:val="003C7A68"/>
    <w:rsid w:val="003D5362"/>
    <w:rsid w:val="003D5826"/>
    <w:rsid w:val="003D6FDD"/>
    <w:rsid w:val="003E100C"/>
    <w:rsid w:val="003E29F9"/>
    <w:rsid w:val="003E476E"/>
    <w:rsid w:val="003E6EBE"/>
    <w:rsid w:val="003F0B0C"/>
    <w:rsid w:val="003F1229"/>
    <w:rsid w:val="003F26CC"/>
    <w:rsid w:val="003F333C"/>
    <w:rsid w:val="003F3D86"/>
    <w:rsid w:val="00403025"/>
    <w:rsid w:val="004174F0"/>
    <w:rsid w:val="00433960"/>
    <w:rsid w:val="004505D8"/>
    <w:rsid w:val="00452B0D"/>
    <w:rsid w:val="00470B76"/>
    <w:rsid w:val="00481A5F"/>
    <w:rsid w:val="00481D81"/>
    <w:rsid w:val="0048218A"/>
    <w:rsid w:val="00493997"/>
    <w:rsid w:val="004A07A4"/>
    <w:rsid w:val="004A57AF"/>
    <w:rsid w:val="004C01CB"/>
    <w:rsid w:val="004C4DEF"/>
    <w:rsid w:val="004C77EE"/>
    <w:rsid w:val="004C7A7C"/>
    <w:rsid w:val="004D23C6"/>
    <w:rsid w:val="004D5E1D"/>
    <w:rsid w:val="004E6489"/>
    <w:rsid w:val="004E7B33"/>
    <w:rsid w:val="004F0E21"/>
    <w:rsid w:val="00513C62"/>
    <w:rsid w:val="00515547"/>
    <w:rsid w:val="0052314E"/>
    <w:rsid w:val="005367A3"/>
    <w:rsid w:val="00541F06"/>
    <w:rsid w:val="00544816"/>
    <w:rsid w:val="00547386"/>
    <w:rsid w:val="005511C0"/>
    <w:rsid w:val="00552F12"/>
    <w:rsid w:val="005603DE"/>
    <w:rsid w:val="00562D8F"/>
    <w:rsid w:val="005639D4"/>
    <w:rsid w:val="00565FF5"/>
    <w:rsid w:val="0058009F"/>
    <w:rsid w:val="00581086"/>
    <w:rsid w:val="005831DB"/>
    <w:rsid w:val="00585531"/>
    <w:rsid w:val="00585F5D"/>
    <w:rsid w:val="00596644"/>
    <w:rsid w:val="005979DD"/>
    <w:rsid w:val="005A1E25"/>
    <w:rsid w:val="005B1AC7"/>
    <w:rsid w:val="005C3A36"/>
    <w:rsid w:val="005C4F36"/>
    <w:rsid w:val="005C7D70"/>
    <w:rsid w:val="005E714A"/>
    <w:rsid w:val="005F07B6"/>
    <w:rsid w:val="005F130A"/>
    <w:rsid w:val="005F1E89"/>
    <w:rsid w:val="005F71E4"/>
    <w:rsid w:val="0060065C"/>
    <w:rsid w:val="00604946"/>
    <w:rsid w:val="006110EA"/>
    <w:rsid w:val="00612D56"/>
    <w:rsid w:val="00614666"/>
    <w:rsid w:val="00615C21"/>
    <w:rsid w:val="00621279"/>
    <w:rsid w:val="006275DA"/>
    <w:rsid w:val="006349F5"/>
    <w:rsid w:val="0064779D"/>
    <w:rsid w:val="00652B63"/>
    <w:rsid w:val="00654016"/>
    <w:rsid w:val="00662D29"/>
    <w:rsid w:val="00663358"/>
    <w:rsid w:val="00667D85"/>
    <w:rsid w:val="00671960"/>
    <w:rsid w:val="00680D64"/>
    <w:rsid w:val="006845AC"/>
    <w:rsid w:val="006922A6"/>
    <w:rsid w:val="00697B59"/>
    <w:rsid w:val="006A0E55"/>
    <w:rsid w:val="006A746C"/>
    <w:rsid w:val="006B1558"/>
    <w:rsid w:val="006B36E3"/>
    <w:rsid w:val="006B6F72"/>
    <w:rsid w:val="006C1C8A"/>
    <w:rsid w:val="006D7909"/>
    <w:rsid w:val="006E174D"/>
    <w:rsid w:val="006E59C4"/>
    <w:rsid w:val="006E768F"/>
    <w:rsid w:val="006F7F8F"/>
    <w:rsid w:val="00701565"/>
    <w:rsid w:val="007017DA"/>
    <w:rsid w:val="00701C2B"/>
    <w:rsid w:val="00704914"/>
    <w:rsid w:val="00706A1E"/>
    <w:rsid w:val="0072533E"/>
    <w:rsid w:val="00725738"/>
    <w:rsid w:val="007334AD"/>
    <w:rsid w:val="00733E48"/>
    <w:rsid w:val="007373F3"/>
    <w:rsid w:val="00741C53"/>
    <w:rsid w:val="007520D0"/>
    <w:rsid w:val="00752650"/>
    <w:rsid w:val="007527F6"/>
    <w:rsid w:val="00753BAE"/>
    <w:rsid w:val="00756636"/>
    <w:rsid w:val="00760F28"/>
    <w:rsid w:val="00774B0E"/>
    <w:rsid w:val="007764A2"/>
    <w:rsid w:val="00783C4C"/>
    <w:rsid w:val="00786AB8"/>
    <w:rsid w:val="00787DC6"/>
    <w:rsid w:val="00795544"/>
    <w:rsid w:val="007977D7"/>
    <w:rsid w:val="007A394B"/>
    <w:rsid w:val="007A6F33"/>
    <w:rsid w:val="007B057B"/>
    <w:rsid w:val="007B2D17"/>
    <w:rsid w:val="007C55C5"/>
    <w:rsid w:val="007C6073"/>
    <w:rsid w:val="007D474C"/>
    <w:rsid w:val="007D533F"/>
    <w:rsid w:val="007D6080"/>
    <w:rsid w:val="007D6F53"/>
    <w:rsid w:val="007D7F4C"/>
    <w:rsid w:val="007E3684"/>
    <w:rsid w:val="007E379A"/>
    <w:rsid w:val="007E4CF7"/>
    <w:rsid w:val="007E5CFC"/>
    <w:rsid w:val="007F2C47"/>
    <w:rsid w:val="007F4997"/>
    <w:rsid w:val="007F6974"/>
    <w:rsid w:val="00801125"/>
    <w:rsid w:val="00806BFF"/>
    <w:rsid w:val="0081503C"/>
    <w:rsid w:val="00816D14"/>
    <w:rsid w:val="00820677"/>
    <w:rsid w:val="008215DE"/>
    <w:rsid w:val="00824B8C"/>
    <w:rsid w:val="00837913"/>
    <w:rsid w:val="00837A1D"/>
    <w:rsid w:val="008409C3"/>
    <w:rsid w:val="00850423"/>
    <w:rsid w:val="00853345"/>
    <w:rsid w:val="008546A9"/>
    <w:rsid w:val="00855B21"/>
    <w:rsid w:val="00857C4C"/>
    <w:rsid w:val="00860FD2"/>
    <w:rsid w:val="0086292F"/>
    <w:rsid w:val="00862DF7"/>
    <w:rsid w:val="00872FD6"/>
    <w:rsid w:val="00874FE7"/>
    <w:rsid w:val="008822A7"/>
    <w:rsid w:val="008840D2"/>
    <w:rsid w:val="00886D6A"/>
    <w:rsid w:val="00890A7B"/>
    <w:rsid w:val="008A2EB4"/>
    <w:rsid w:val="008A6150"/>
    <w:rsid w:val="008B1873"/>
    <w:rsid w:val="008B1AC7"/>
    <w:rsid w:val="008C6143"/>
    <w:rsid w:val="008C7515"/>
    <w:rsid w:val="008D2E11"/>
    <w:rsid w:val="008D3D99"/>
    <w:rsid w:val="008D5380"/>
    <w:rsid w:val="008D6D11"/>
    <w:rsid w:val="008E606E"/>
    <w:rsid w:val="008E77EC"/>
    <w:rsid w:val="008F0B05"/>
    <w:rsid w:val="008F12EE"/>
    <w:rsid w:val="008F1A5E"/>
    <w:rsid w:val="008F39F8"/>
    <w:rsid w:val="008F4E66"/>
    <w:rsid w:val="00916592"/>
    <w:rsid w:val="00941231"/>
    <w:rsid w:val="0094168B"/>
    <w:rsid w:val="009436D4"/>
    <w:rsid w:val="009443BD"/>
    <w:rsid w:val="00956066"/>
    <w:rsid w:val="0096598F"/>
    <w:rsid w:val="00975E94"/>
    <w:rsid w:val="009763AD"/>
    <w:rsid w:val="00976DAD"/>
    <w:rsid w:val="0098505F"/>
    <w:rsid w:val="009856D3"/>
    <w:rsid w:val="0099035B"/>
    <w:rsid w:val="009917DC"/>
    <w:rsid w:val="009A109A"/>
    <w:rsid w:val="009A708E"/>
    <w:rsid w:val="009B2C6B"/>
    <w:rsid w:val="009B3641"/>
    <w:rsid w:val="009C715B"/>
    <w:rsid w:val="009D0BA4"/>
    <w:rsid w:val="009D3E61"/>
    <w:rsid w:val="009D49DE"/>
    <w:rsid w:val="009D6479"/>
    <w:rsid w:val="009E7BE9"/>
    <w:rsid w:val="009F2895"/>
    <w:rsid w:val="00A0794D"/>
    <w:rsid w:val="00A30A59"/>
    <w:rsid w:val="00A40AB2"/>
    <w:rsid w:val="00A56F23"/>
    <w:rsid w:val="00A600B7"/>
    <w:rsid w:val="00A63E11"/>
    <w:rsid w:val="00A6579D"/>
    <w:rsid w:val="00A7613E"/>
    <w:rsid w:val="00A777BB"/>
    <w:rsid w:val="00A801AC"/>
    <w:rsid w:val="00A81031"/>
    <w:rsid w:val="00A84F3B"/>
    <w:rsid w:val="00A9289A"/>
    <w:rsid w:val="00A93554"/>
    <w:rsid w:val="00AA158E"/>
    <w:rsid w:val="00AA32F0"/>
    <w:rsid w:val="00AA4CC2"/>
    <w:rsid w:val="00AB0037"/>
    <w:rsid w:val="00AB26D7"/>
    <w:rsid w:val="00AB3EED"/>
    <w:rsid w:val="00AC1A52"/>
    <w:rsid w:val="00AC6E93"/>
    <w:rsid w:val="00AD1BA8"/>
    <w:rsid w:val="00AD760E"/>
    <w:rsid w:val="00AE0405"/>
    <w:rsid w:val="00AE4BE7"/>
    <w:rsid w:val="00AE6874"/>
    <w:rsid w:val="00AE71F1"/>
    <w:rsid w:val="00AF2781"/>
    <w:rsid w:val="00AF7FC3"/>
    <w:rsid w:val="00B004FF"/>
    <w:rsid w:val="00B06969"/>
    <w:rsid w:val="00B06BEE"/>
    <w:rsid w:val="00B13451"/>
    <w:rsid w:val="00B1452C"/>
    <w:rsid w:val="00B173F2"/>
    <w:rsid w:val="00B1745D"/>
    <w:rsid w:val="00B2239A"/>
    <w:rsid w:val="00B25971"/>
    <w:rsid w:val="00B3090C"/>
    <w:rsid w:val="00B32FFF"/>
    <w:rsid w:val="00B36004"/>
    <w:rsid w:val="00B67B0A"/>
    <w:rsid w:val="00B72EAE"/>
    <w:rsid w:val="00B75865"/>
    <w:rsid w:val="00B8202A"/>
    <w:rsid w:val="00B82235"/>
    <w:rsid w:val="00B8232B"/>
    <w:rsid w:val="00B85D82"/>
    <w:rsid w:val="00B95878"/>
    <w:rsid w:val="00BB014D"/>
    <w:rsid w:val="00BB2615"/>
    <w:rsid w:val="00BB26D0"/>
    <w:rsid w:val="00BB3FA0"/>
    <w:rsid w:val="00BB77A7"/>
    <w:rsid w:val="00BC09C9"/>
    <w:rsid w:val="00BC7292"/>
    <w:rsid w:val="00BF16B6"/>
    <w:rsid w:val="00C07365"/>
    <w:rsid w:val="00C1019F"/>
    <w:rsid w:val="00C12AED"/>
    <w:rsid w:val="00C1383E"/>
    <w:rsid w:val="00C329DA"/>
    <w:rsid w:val="00C41CFC"/>
    <w:rsid w:val="00C41E96"/>
    <w:rsid w:val="00C42063"/>
    <w:rsid w:val="00C43404"/>
    <w:rsid w:val="00C44D79"/>
    <w:rsid w:val="00C459F6"/>
    <w:rsid w:val="00C4635E"/>
    <w:rsid w:val="00C47758"/>
    <w:rsid w:val="00C505A1"/>
    <w:rsid w:val="00C55199"/>
    <w:rsid w:val="00C557D9"/>
    <w:rsid w:val="00C611D1"/>
    <w:rsid w:val="00C63292"/>
    <w:rsid w:val="00C64B0B"/>
    <w:rsid w:val="00C70E0E"/>
    <w:rsid w:val="00C73566"/>
    <w:rsid w:val="00C73D68"/>
    <w:rsid w:val="00C77BB0"/>
    <w:rsid w:val="00C85095"/>
    <w:rsid w:val="00C86B68"/>
    <w:rsid w:val="00C879A8"/>
    <w:rsid w:val="00C87E56"/>
    <w:rsid w:val="00C901F7"/>
    <w:rsid w:val="00C91572"/>
    <w:rsid w:val="00CD12CB"/>
    <w:rsid w:val="00CD42C8"/>
    <w:rsid w:val="00CE015C"/>
    <w:rsid w:val="00CE7722"/>
    <w:rsid w:val="00CF5EEE"/>
    <w:rsid w:val="00D02CF9"/>
    <w:rsid w:val="00D0312E"/>
    <w:rsid w:val="00D11DC1"/>
    <w:rsid w:val="00D13862"/>
    <w:rsid w:val="00D13DA4"/>
    <w:rsid w:val="00D16EEE"/>
    <w:rsid w:val="00D175E4"/>
    <w:rsid w:val="00D202CC"/>
    <w:rsid w:val="00D32325"/>
    <w:rsid w:val="00D40C94"/>
    <w:rsid w:val="00D41346"/>
    <w:rsid w:val="00D431AE"/>
    <w:rsid w:val="00D45340"/>
    <w:rsid w:val="00D46C92"/>
    <w:rsid w:val="00D6102C"/>
    <w:rsid w:val="00D640D6"/>
    <w:rsid w:val="00D73F8C"/>
    <w:rsid w:val="00D75CFB"/>
    <w:rsid w:val="00D767BC"/>
    <w:rsid w:val="00D8412A"/>
    <w:rsid w:val="00D90435"/>
    <w:rsid w:val="00D91574"/>
    <w:rsid w:val="00D92908"/>
    <w:rsid w:val="00D95846"/>
    <w:rsid w:val="00DA52CB"/>
    <w:rsid w:val="00DA7B3A"/>
    <w:rsid w:val="00DB010D"/>
    <w:rsid w:val="00DB1BF0"/>
    <w:rsid w:val="00DC2DD1"/>
    <w:rsid w:val="00DC4EF2"/>
    <w:rsid w:val="00DD0AF3"/>
    <w:rsid w:val="00DD398A"/>
    <w:rsid w:val="00DD436B"/>
    <w:rsid w:val="00DD6B92"/>
    <w:rsid w:val="00DD6D30"/>
    <w:rsid w:val="00DE0199"/>
    <w:rsid w:val="00DE4B57"/>
    <w:rsid w:val="00DF72A3"/>
    <w:rsid w:val="00E06596"/>
    <w:rsid w:val="00E11E87"/>
    <w:rsid w:val="00E222BF"/>
    <w:rsid w:val="00E2780D"/>
    <w:rsid w:val="00E30306"/>
    <w:rsid w:val="00E30667"/>
    <w:rsid w:val="00E31198"/>
    <w:rsid w:val="00E32993"/>
    <w:rsid w:val="00E331D4"/>
    <w:rsid w:val="00E36868"/>
    <w:rsid w:val="00E4456E"/>
    <w:rsid w:val="00E459BE"/>
    <w:rsid w:val="00E47396"/>
    <w:rsid w:val="00E5242F"/>
    <w:rsid w:val="00E61109"/>
    <w:rsid w:val="00E63806"/>
    <w:rsid w:val="00E711AE"/>
    <w:rsid w:val="00E7157A"/>
    <w:rsid w:val="00E71B42"/>
    <w:rsid w:val="00E82F5D"/>
    <w:rsid w:val="00E83060"/>
    <w:rsid w:val="00E83C4C"/>
    <w:rsid w:val="00EA167C"/>
    <w:rsid w:val="00EA4229"/>
    <w:rsid w:val="00EA52AE"/>
    <w:rsid w:val="00EA5E17"/>
    <w:rsid w:val="00EA69CE"/>
    <w:rsid w:val="00EB49D3"/>
    <w:rsid w:val="00EB4B66"/>
    <w:rsid w:val="00EC5E2B"/>
    <w:rsid w:val="00EC6E7E"/>
    <w:rsid w:val="00EE24D1"/>
    <w:rsid w:val="00EE3573"/>
    <w:rsid w:val="00EE5B82"/>
    <w:rsid w:val="00EE71CF"/>
    <w:rsid w:val="00EF37EA"/>
    <w:rsid w:val="00EF647F"/>
    <w:rsid w:val="00F06556"/>
    <w:rsid w:val="00F06ABF"/>
    <w:rsid w:val="00F06ADD"/>
    <w:rsid w:val="00F11B0C"/>
    <w:rsid w:val="00F129F5"/>
    <w:rsid w:val="00F17643"/>
    <w:rsid w:val="00F177E0"/>
    <w:rsid w:val="00F229AD"/>
    <w:rsid w:val="00F41C1B"/>
    <w:rsid w:val="00F4389A"/>
    <w:rsid w:val="00F45E3A"/>
    <w:rsid w:val="00F46744"/>
    <w:rsid w:val="00F52203"/>
    <w:rsid w:val="00F5450F"/>
    <w:rsid w:val="00F96ED1"/>
    <w:rsid w:val="00FA43A1"/>
    <w:rsid w:val="00FA783C"/>
    <w:rsid w:val="00FB4344"/>
    <w:rsid w:val="00FB61EC"/>
    <w:rsid w:val="00FC5942"/>
    <w:rsid w:val="00FC64D7"/>
    <w:rsid w:val="00FC6FB5"/>
    <w:rsid w:val="00FD3DC0"/>
    <w:rsid w:val="00FD70C2"/>
    <w:rsid w:val="00FE0BAC"/>
    <w:rsid w:val="00FF01A7"/>
    <w:rsid w:val="00FF3924"/>
    <w:rsid w:val="00FF428E"/>
    <w:rsid w:val="00FF6E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3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63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3AD"/>
    <w:pPr>
      <w:spacing w:after="0" w:line="240" w:lineRule="auto"/>
    </w:pPr>
  </w:style>
  <w:style w:type="character" w:customStyle="1" w:styleId="Heading1Char">
    <w:name w:val="Heading 1 Char"/>
    <w:basedOn w:val="DefaultParagraphFont"/>
    <w:link w:val="Heading1"/>
    <w:uiPriority w:val="9"/>
    <w:rsid w:val="00976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6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63A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9763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3AD"/>
    <w:rPr>
      <w:sz w:val="20"/>
      <w:szCs w:val="20"/>
    </w:rPr>
  </w:style>
  <w:style w:type="character" w:styleId="FootnoteReference">
    <w:name w:val="footnote reference"/>
    <w:basedOn w:val="DefaultParagraphFont"/>
    <w:uiPriority w:val="99"/>
    <w:unhideWhenUsed/>
    <w:rsid w:val="009763AD"/>
    <w:rPr>
      <w:vertAlign w:val="superscript"/>
    </w:rPr>
  </w:style>
  <w:style w:type="table" w:styleId="TableGrid">
    <w:name w:val="Table Grid"/>
    <w:basedOn w:val="TableNormal"/>
    <w:uiPriority w:val="59"/>
    <w:rsid w:val="00FC5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DF7"/>
    <w:pPr>
      <w:ind w:left="720"/>
      <w:contextualSpacing/>
    </w:pPr>
  </w:style>
  <w:style w:type="paragraph" w:styleId="Header">
    <w:name w:val="header"/>
    <w:basedOn w:val="Normal"/>
    <w:link w:val="HeaderChar"/>
    <w:uiPriority w:val="99"/>
    <w:unhideWhenUsed/>
    <w:rsid w:val="00DC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EF2"/>
  </w:style>
  <w:style w:type="paragraph" w:styleId="Footer">
    <w:name w:val="footer"/>
    <w:basedOn w:val="Normal"/>
    <w:link w:val="FooterChar"/>
    <w:uiPriority w:val="99"/>
    <w:unhideWhenUsed/>
    <w:rsid w:val="00DC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EF2"/>
  </w:style>
  <w:style w:type="character" w:styleId="Hyperlink">
    <w:name w:val="Hyperlink"/>
    <w:basedOn w:val="DefaultParagraphFont"/>
    <w:uiPriority w:val="99"/>
    <w:unhideWhenUsed/>
    <w:rsid w:val="00D13862"/>
    <w:rPr>
      <w:color w:val="0000FF"/>
      <w:u w:val="single"/>
    </w:rPr>
  </w:style>
  <w:style w:type="character" w:styleId="CommentReference">
    <w:name w:val="annotation reference"/>
    <w:basedOn w:val="DefaultParagraphFont"/>
    <w:uiPriority w:val="99"/>
    <w:semiHidden/>
    <w:unhideWhenUsed/>
    <w:rsid w:val="00D13862"/>
    <w:rPr>
      <w:sz w:val="16"/>
      <w:szCs w:val="16"/>
    </w:rPr>
  </w:style>
  <w:style w:type="paragraph" w:styleId="CommentText">
    <w:name w:val="annotation text"/>
    <w:basedOn w:val="Normal"/>
    <w:link w:val="CommentTextChar"/>
    <w:uiPriority w:val="99"/>
    <w:semiHidden/>
    <w:unhideWhenUsed/>
    <w:rsid w:val="00D13862"/>
    <w:pPr>
      <w:spacing w:line="240" w:lineRule="auto"/>
    </w:pPr>
    <w:rPr>
      <w:sz w:val="20"/>
      <w:szCs w:val="20"/>
    </w:rPr>
  </w:style>
  <w:style w:type="character" w:customStyle="1" w:styleId="CommentTextChar">
    <w:name w:val="Comment Text Char"/>
    <w:basedOn w:val="DefaultParagraphFont"/>
    <w:link w:val="CommentText"/>
    <w:uiPriority w:val="99"/>
    <w:semiHidden/>
    <w:rsid w:val="00D13862"/>
    <w:rPr>
      <w:sz w:val="20"/>
      <w:szCs w:val="20"/>
    </w:rPr>
  </w:style>
  <w:style w:type="paragraph" w:styleId="BalloonText">
    <w:name w:val="Balloon Text"/>
    <w:basedOn w:val="Normal"/>
    <w:link w:val="BalloonTextChar"/>
    <w:uiPriority w:val="99"/>
    <w:semiHidden/>
    <w:unhideWhenUsed/>
    <w:rsid w:val="00D13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62"/>
    <w:rPr>
      <w:rFonts w:ascii="Tahoma" w:hAnsi="Tahoma" w:cs="Tahoma"/>
      <w:sz w:val="16"/>
      <w:szCs w:val="16"/>
    </w:rPr>
  </w:style>
  <w:style w:type="paragraph" w:styleId="TOCHeading">
    <w:name w:val="TOC Heading"/>
    <w:basedOn w:val="Heading1"/>
    <w:next w:val="Normal"/>
    <w:uiPriority w:val="39"/>
    <w:unhideWhenUsed/>
    <w:qFormat/>
    <w:rsid w:val="00C505A1"/>
    <w:pPr>
      <w:outlineLvl w:val="9"/>
    </w:pPr>
    <w:rPr>
      <w:lang w:val="en-US" w:eastAsia="ja-JP"/>
    </w:rPr>
  </w:style>
  <w:style w:type="paragraph" w:styleId="TOC1">
    <w:name w:val="toc 1"/>
    <w:basedOn w:val="Normal"/>
    <w:next w:val="Normal"/>
    <w:autoRedefine/>
    <w:uiPriority w:val="39"/>
    <w:unhideWhenUsed/>
    <w:rsid w:val="00C505A1"/>
    <w:pPr>
      <w:spacing w:after="100"/>
    </w:pPr>
  </w:style>
  <w:style w:type="paragraph" w:styleId="TOC3">
    <w:name w:val="toc 3"/>
    <w:basedOn w:val="Normal"/>
    <w:next w:val="Normal"/>
    <w:autoRedefine/>
    <w:uiPriority w:val="39"/>
    <w:unhideWhenUsed/>
    <w:rsid w:val="00C505A1"/>
    <w:pPr>
      <w:spacing w:after="100"/>
      <w:ind w:left="440"/>
    </w:pPr>
  </w:style>
  <w:style w:type="paragraph" w:styleId="TOC2">
    <w:name w:val="toc 2"/>
    <w:basedOn w:val="Normal"/>
    <w:next w:val="Normal"/>
    <w:autoRedefine/>
    <w:uiPriority w:val="39"/>
    <w:unhideWhenUsed/>
    <w:rsid w:val="00C505A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3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63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3AD"/>
    <w:pPr>
      <w:spacing w:after="0" w:line="240" w:lineRule="auto"/>
    </w:pPr>
  </w:style>
  <w:style w:type="character" w:customStyle="1" w:styleId="Heading1Char">
    <w:name w:val="Heading 1 Char"/>
    <w:basedOn w:val="DefaultParagraphFont"/>
    <w:link w:val="Heading1"/>
    <w:uiPriority w:val="9"/>
    <w:rsid w:val="00976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6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63A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9763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3AD"/>
    <w:rPr>
      <w:sz w:val="20"/>
      <w:szCs w:val="20"/>
    </w:rPr>
  </w:style>
  <w:style w:type="character" w:styleId="FootnoteReference">
    <w:name w:val="footnote reference"/>
    <w:basedOn w:val="DefaultParagraphFont"/>
    <w:uiPriority w:val="99"/>
    <w:unhideWhenUsed/>
    <w:rsid w:val="009763AD"/>
    <w:rPr>
      <w:vertAlign w:val="superscript"/>
    </w:rPr>
  </w:style>
  <w:style w:type="table" w:styleId="TableGrid">
    <w:name w:val="Table Grid"/>
    <w:basedOn w:val="TableNormal"/>
    <w:uiPriority w:val="59"/>
    <w:rsid w:val="00FC5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DF7"/>
    <w:pPr>
      <w:ind w:left="720"/>
      <w:contextualSpacing/>
    </w:pPr>
  </w:style>
  <w:style w:type="paragraph" w:styleId="Header">
    <w:name w:val="header"/>
    <w:basedOn w:val="Normal"/>
    <w:link w:val="HeaderChar"/>
    <w:uiPriority w:val="99"/>
    <w:unhideWhenUsed/>
    <w:rsid w:val="00DC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EF2"/>
  </w:style>
  <w:style w:type="paragraph" w:styleId="Footer">
    <w:name w:val="footer"/>
    <w:basedOn w:val="Normal"/>
    <w:link w:val="FooterChar"/>
    <w:uiPriority w:val="99"/>
    <w:unhideWhenUsed/>
    <w:rsid w:val="00DC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EF2"/>
  </w:style>
  <w:style w:type="character" w:styleId="Hyperlink">
    <w:name w:val="Hyperlink"/>
    <w:basedOn w:val="DefaultParagraphFont"/>
    <w:uiPriority w:val="99"/>
    <w:unhideWhenUsed/>
    <w:rsid w:val="00D13862"/>
    <w:rPr>
      <w:color w:val="0000FF"/>
      <w:u w:val="single"/>
    </w:rPr>
  </w:style>
  <w:style w:type="character" w:styleId="CommentReference">
    <w:name w:val="annotation reference"/>
    <w:basedOn w:val="DefaultParagraphFont"/>
    <w:uiPriority w:val="99"/>
    <w:semiHidden/>
    <w:unhideWhenUsed/>
    <w:rsid w:val="00D13862"/>
    <w:rPr>
      <w:sz w:val="16"/>
      <w:szCs w:val="16"/>
    </w:rPr>
  </w:style>
  <w:style w:type="paragraph" w:styleId="CommentText">
    <w:name w:val="annotation text"/>
    <w:basedOn w:val="Normal"/>
    <w:link w:val="CommentTextChar"/>
    <w:uiPriority w:val="99"/>
    <w:semiHidden/>
    <w:unhideWhenUsed/>
    <w:rsid w:val="00D13862"/>
    <w:pPr>
      <w:spacing w:line="240" w:lineRule="auto"/>
    </w:pPr>
    <w:rPr>
      <w:sz w:val="20"/>
      <w:szCs w:val="20"/>
    </w:rPr>
  </w:style>
  <w:style w:type="character" w:customStyle="1" w:styleId="CommentTextChar">
    <w:name w:val="Comment Text Char"/>
    <w:basedOn w:val="DefaultParagraphFont"/>
    <w:link w:val="CommentText"/>
    <w:uiPriority w:val="99"/>
    <w:semiHidden/>
    <w:rsid w:val="00D13862"/>
    <w:rPr>
      <w:sz w:val="20"/>
      <w:szCs w:val="20"/>
    </w:rPr>
  </w:style>
  <w:style w:type="paragraph" w:styleId="BalloonText">
    <w:name w:val="Balloon Text"/>
    <w:basedOn w:val="Normal"/>
    <w:link w:val="BalloonTextChar"/>
    <w:uiPriority w:val="99"/>
    <w:semiHidden/>
    <w:unhideWhenUsed/>
    <w:rsid w:val="00D13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62"/>
    <w:rPr>
      <w:rFonts w:ascii="Tahoma" w:hAnsi="Tahoma" w:cs="Tahoma"/>
      <w:sz w:val="16"/>
      <w:szCs w:val="16"/>
    </w:rPr>
  </w:style>
  <w:style w:type="paragraph" w:styleId="TOCHeading">
    <w:name w:val="TOC Heading"/>
    <w:basedOn w:val="Heading1"/>
    <w:next w:val="Normal"/>
    <w:uiPriority w:val="39"/>
    <w:unhideWhenUsed/>
    <w:qFormat/>
    <w:rsid w:val="00C505A1"/>
    <w:pPr>
      <w:outlineLvl w:val="9"/>
    </w:pPr>
    <w:rPr>
      <w:lang w:val="en-US" w:eastAsia="ja-JP"/>
    </w:rPr>
  </w:style>
  <w:style w:type="paragraph" w:styleId="TOC1">
    <w:name w:val="toc 1"/>
    <w:basedOn w:val="Normal"/>
    <w:next w:val="Normal"/>
    <w:autoRedefine/>
    <w:uiPriority w:val="39"/>
    <w:unhideWhenUsed/>
    <w:rsid w:val="00C505A1"/>
    <w:pPr>
      <w:spacing w:after="100"/>
    </w:pPr>
  </w:style>
  <w:style w:type="paragraph" w:styleId="TOC3">
    <w:name w:val="toc 3"/>
    <w:basedOn w:val="Normal"/>
    <w:next w:val="Normal"/>
    <w:autoRedefine/>
    <w:uiPriority w:val="39"/>
    <w:unhideWhenUsed/>
    <w:rsid w:val="00C505A1"/>
    <w:pPr>
      <w:spacing w:after="100"/>
      <w:ind w:left="440"/>
    </w:pPr>
  </w:style>
  <w:style w:type="paragraph" w:styleId="TOC2">
    <w:name w:val="toc 2"/>
    <w:basedOn w:val="Normal"/>
    <w:next w:val="Normal"/>
    <w:autoRedefine/>
    <w:uiPriority w:val="39"/>
    <w:unhideWhenUsed/>
    <w:rsid w:val="00C505A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8822">
      <w:bodyDiv w:val="1"/>
      <w:marLeft w:val="0"/>
      <w:marRight w:val="0"/>
      <w:marTop w:val="0"/>
      <w:marBottom w:val="0"/>
      <w:divBdr>
        <w:top w:val="none" w:sz="0" w:space="0" w:color="auto"/>
        <w:left w:val="none" w:sz="0" w:space="0" w:color="auto"/>
        <w:bottom w:val="none" w:sz="0" w:space="0" w:color="auto"/>
        <w:right w:val="none" w:sz="0" w:space="0" w:color="auto"/>
      </w:divBdr>
    </w:div>
    <w:div w:id="332342775">
      <w:bodyDiv w:val="1"/>
      <w:marLeft w:val="0"/>
      <w:marRight w:val="0"/>
      <w:marTop w:val="0"/>
      <w:marBottom w:val="0"/>
      <w:divBdr>
        <w:top w:val="none" w:sz="0" w:space="0" w:color="auto"/>
        <w:left w:val="none" w:sz="0" w:space="0" w:color="auto"/>
        <w:bottom w:val="none" w:sz="0" w:space="0" w:color="auto"/>
        <w:right w:val="none" w:sz="0" w:space="0" w:color="auto"/>
      </w:divBdr>
    </w:div>
    <w:div w:id="351885599">
      <w:bodyDiv w:val="1"/>
      <w:marLeft w:val="0"/>
      <w:marRight w:val="0"/>
      <w:marTop w:val="0"/>
      <w:marBottom w:val="0"/>
      <w:divBdr>
        <w:top w:val="none" w:sz="0" w:space="0" w:color="auto"/>
        <w:left w:val="none" w:sz="0" w:space="0" w:color="auto"/>
        <w:bottom w:val="none" w:sz="0" w:space="0" w:color="auto"/>
        <w:right w:val="none" w:sz="0" w:space="0" w:color="auto"/>
      </w:divBdr>
    </w:div>
    <w:div w:id="365327021">
      <w:bodyDiv w:val="1"/>
      <w:marLeft w:val="0"/>
      <w:marRight w:val="0"/>
      <w:marTop w:val="0"/>
      <w:marBottom w:val="0"/>
      <w:divBdr>
        <w:top w:val="none" w:sz="0" w:space="0" w:color="auto"/>
        <w:left w:val="none" w:sz="0" w:space="0" w:color="auto"/>
        <w:bottom w:val="none" w:sz="0" w:space="0" w:color="auto"/>
        <w:right w:val="none" w:sz="0" w:space="0" w:color="auto"/>
      </w:divBdr>
    </w:div>
    <w:div w:id="443958799">
      <w:bodyDiv w:val="1"/>
      <w:marLeft w:val="0"/>
      <w:marRight w:val="0"/>
      <w:marTop w:val="0"/>
      <w:marBottom w:val="0"/>
      <w:divBdr>
        <w:top w:val="none" w:sz="0" w:space="0" w:color="auto"/>
        <w:left w:val="none" w:sz="0" w:space="0" w:color="auto"/>
        <w:bottom w:val="none" w:sz="0" w:space="0" w:color="auto"/>
        <w:right w:val="none" w:sz="0" w:space="0" w:color="auto"/>
      </w:divBdr>
      <w:divsChild>
        <w:div w:id="1964996629">
          <w:marLeft w:val="547"/>
          <w:marRight w:val="0"/>
          <w:marTop w:val="144"/>
          <w:marBottom w:val="0"/>
          <w:divBdr>
            <w:top w:val="none" w:sz="0" w:space="0" w:color="auto"/>
            <w:left w:val="none" w:sz="0" w:space="0" w:color="auto"/>
            <w:bottom w:val="none" w:sz="0" w:space="0" w:color="auto"/>
            <w:right w:val="none" w:sz="0" w:space="0" w:color="auto"/>
          </w:divBdr>
        </w:div>
        <w:div w:id="1603418248">
          <w:marLeft w:val="547"/>
          <w:marRight w:val="0"/>
          <w:marTop w:val="144"/>
          <w:marBottom w:val="0"/>
          <w:divBdr>
            <w:top w:val="none" w:sz="0" w:space="0" w:color="auto"/>
            <w:left w:val="none" w:sz="0" w:space="0" w:color="auto"/>
            <w:bottom w:val="none" w:sz="0" w:space="0" w:color="auto"/>
            <w:right w:val="none" w:sz="0" w:space="0" w:color="auto"/>
          </w:divBdr>
        </w:div>
        <w:div w:id="1335259550">
          <w:marLeft w:val="547"/>
          <w:marRight w:val="0"/>
          <w:marTop w:val="144"/>
          <w:marBottom w:val="0"/>
          <w:divBdr>
            <w:top w:val="none" w:sz="0" w:space="0" w:color="auto"/>
            <w:left w:val="none" w:sz="0" w:space="0" w:color="auto"/>
            <w:bottom w:val="none" w:sz="0" w:space="0" w:color="auto"/>
            <w:right w:val="none" w:sz="0" w:space="0" w:color="auto"/>
          </w:divBdr>
        </w:div>
        <w:div w:id="1887909915">
          <w:marLeft w:val="547"/>
          <w:marRight w:val="0"/>
          <w:marTop w:val="144"/>
          <w:marBottom w:val="0"/>
          <w:divBdr>
            <w:top w:val="none" w:sz="0" w:space="0" w:color="auto"/>
            <w:left w:val="none" w:sz="0" w:space="0" w:color="auto"/>
            <w:bottom w:val="none" w:sz="0" w:space="0" w:color="auto"/>
            <w:right w:val="none" w:sz="0" w:space="0" w:color="auto"/>
          </w:divBdr>
        </w:div>
        <w:div w:id="69818532">
          <w:marLeft w:val="547"/>
          <w:marRight w:val="0"/>
          <w:marTop w:val="144"/>
          <w:marBottom w:val="0"/>
          <w:divBdr>
            <w:top w:val="none" w:sz="0" w:space="0" w:color="auto"/>
            <w:left w:val="none" w:sz="0" w:space="0" w:color="auto"/>
            <w:bottom w:val="none" w:sz="0" w:space="0" w:color="auto"/>
            <w:right w:val="none" w:sz="0" w:space="0" w:color="auto"/>
          </w:divBdr>
        </w:div>
        <w:div w:id="510530634">
          <w:marLeft w:val="547"/>
          <w:marRight w:val="0"/>
          <w:marTop w:val="144"/>
          <w:marBottom w:val="0"/>
          <w:divBdr>
            <w:top w:val="none" w:sz="0" w:space="0" w:color="auto"/>
            <w:left w:val="none" w:sz="0" w:space="0" w:color="auto"/>
            <w:bottom w:val="none" w:sz="0" w:space="0" w:color="auto"/>
            <w:right w:val="none" w:sz="0" w:space="0" w:color="auto"/>
          </w:divBdr>
        </w:div>
        <w:div w:id="1450705555">
          <w:marLeft w:val="547"/>
          <w:marRight w:val="0"/>
          <w:marTop w:val="144"/>
          <w:marBottom w:val="0"/>
          <w:divBdr>
            <w:top w:val="none" w:sz="0" w:space="0" w:color="auto"/>
            <w:left w:val="none" w:sz="0" w:space="0" w:color="auto"/>
            <w:bottom w:val="none" w:sz="0" w:space="0" w:color="auto"/>
            <w:right w:val="none" w:sz="0" w:space="0" w:color="auto"/>
          </w:divBdr>
        </w:div>
        <w:div w:id="1511606568">
          <w:marLeft w:val="547"/>
          <w:marRight w:val="0"/>
          <w:marTop w:val="144"/>
          <w:marBottom w:val="0"/>
          <w:divBdr>
            <w:top w:val="none" w:sz="0" w:space="0" w:color="auto"/>
            <w:left w:val="none" w:sz="0" w:space="0" w:color="auto"/>
            <w:bottom w:val="none" w:sz="0" w:space="0" w:color="auto"/>
            <w:right w:val="none" w:sz="0" w:space="0" w:color="auto"/>
          </w:divBdr>
        </w:div>
      </w:divsChild>
    </w:div>
    <w:div w:id="553002277">
      <w:bodyDiv w:val="1"/>
      <w:marLeft w:val="0"/>
      <w:marRight w:val="0"/>
      <w:marTop w:val="0"/>
      <w:marBottom w:val="0"/>
      <w:divBdr>
        <w:top w:val="none" w:sz="0" w:space="0" w:color="auto"/>
        <w:left w:val="none" w:sz="0" w:space="0" w:color="auto"/>
        <w:bottom w:val="none" w:sz="0" w:space="0" w:color="auto"/>
        <w:right w:val="none" w:sz="0" w:space="0" w:color="auto"/>
      </w:divBdr>
      <w:divsChild>
        <w:div w:id="199562443">
          <w:marLeft w:val="547"/>
          <w:marRight w:val="0"/>
          <w:marTop w:val="130"/>
          <w:marBottom w:val="0"/>
          <w:divBdr>
            <w:top w:val="none" w:sz="0" w:space="0" w:color="auto"/>
            <w:left w:val="none" w:sz="0" w:space="0" w:color="auto"/>
            <w:bottom w:val="none" w:sz="0" w:space="0" w:color="auto"/>
            <w:right w:val="none" w:sz="0" w:space="0" w:color="auto"/>
          </w:divBdr>
        </w:div>
        <w:div w:id="965283215">
          <w:marLeft w:val="1166"/>
          <w:marRight w:val="0"/>
          <w:marTop w:val="115"/>
          <w:marBottom w:val="0"/>
          <w:divBdr>
            <w:top w:val="none" w:sz="0" w:space="0" w:color="auto"/>
            <w:left w:val="none" w:sz="0" w:space="0" w:color="auto"/>
            <w:bottom w:val="none" w:sz="0" w:space="0" w:color="auto"/>
            <w:right w:val="none" w:sz="0" w:space="0" w:color="auto"/>
          </w:divBdr>
        </w:div>
      </w:divsChild>
    </w:div>
    <w:div w:id="697463124">
      <w:bodyDiv w:val="1"/>
      <w:marLeft w:val="0"/>
      <w:marRight w:val="0"/>
      <w:marTop w:val="0"/>
      <w:marBottom w:val="0"/>
      <w:divBdr>
        <w:top w:val="none" w:sz="0" w:space="0" w:color="auto"/>
        <w:left w:val="none" w:sz="0" w:space="0" w:color="auto"/>
        <w:bottom w:val="none" w:sz="0" w:space="0" w:color="auto"/>
        <w:right w:val="none" w:sz="0" w:space="0" w:color="auto"/>
      </w:divBdr>
    </w:div>
    <w:div w:id="793671731">
      <w:bodyDiv w:val="1"/>
      <w:marLeft w:val="0"/>
      <w:marRight w:val="0"/>
      <w:marTop w:val="0"/>
      <w:marBottom w:val="0"/>
      <w:divBdr>
        <w:top w:val="none" w:sz="0" w:space="0" w:color="auto"/>
        <w:left w:val="none" w:sz="0" w:space="0" w:color="auto"/>
        <w:bottom w:val="none" w:sz="0" w:space="0" w:color="auto"/>
        <w:right w:val="none" w:sz="0" w:space="0" w:color="auto"/>
      </w:divBdr>
    </w:div>
    <w:div w:id="868227394">
      <w:bodyDiv w:val="1"/>
      <w:marLeft w:val="0"/>
      <w:marRight w:val="0"/>
      <w:marTop w:val="0"/>
      <w:marBottom w:val="0"/>
      <w:divBdr>
        <w:top w:val="none" w:sz="0" w:space="0" w:color="auto"/>
        <w:left w:val="none" w:sz="0" w:space="0" w:color="auto"/>
        <w:bottom w:val="none" w:sz="0" w:space="0" w:color="auto"/>
        <w:right w:val="none" w:sz="0" w:space="0" w:color="auto"/>
      </w:divBdr>
    </w:div>
    <w:div w:id="1011226324">
      <w:bodyDiv w:val="1"/>
      <w:marLeft w:val="0"/>
      <w:marRight w:val="0"/>
      <w:marTop w:val="0"/>
      <w:marBottom w:val="0"/>
      <w:divBdr>
        <w:top w:val="none" w:sz="0" w:space="0" w:color="auto"/>
        <w:left w:val="none" w:sz="0" w:space="0" w:color="auto"/>
        <w:bottom w:val="none" w:sz="0" w:space="0" w:color="auto"/>
        <w:right w:val="none" w:sz="0" w:space="0" w:color="auto"/>
      </w:divBdr>
    </w:div>
    <w:div w:id="1043942797">
      <w:bodyDiv w:val="1"/>
      <w:marLeft w:val="0"/>
      <w:marRight w:val="0"/>
      <w:marTop w:val="0"/>
      <w:marBottom w:val="0"/>
      <w:divBdr>
        <w:top w:val="none" w:sz="0" w:space="0" w:color="auto"/>
        <w:left w:val="none" w:sz="0" w:space="0" w:color="auto"/>
        <w:bottom w:val="none" w:sz="0" w:space="0" w:color="auto"/>
        <w:right w:val="none" w:sz="0" w:space="0" w:color="auto"/>
      </w:divBdr>
    </w:div>
    <w:div w:id="1169105036">
      <w:bodyDiv w:val="1"/>
      <w:marLeft w:val="0"/>
      <w:marRight w:val="0"/>
      <w:marTop w:val="0"/>
      <w:marBottom w:val="0"/>
      <w:divBdr>
        <w:top w:val="none" w:sz="0" w:space="0" w:color="auto"/>
        <w:left w:val="none" w:sz="0" w:space="0" w:color="auto"/>
        <w:bottom w:val="none" w:sz="0" w:space="0" w:color="auto"/>
        <w:right w:val="none" w:sz="0" w:space="0" w:color="auto"/>
      </w:divBdr>
      <w:divsChild>
        <w:div w:id="2077626258">
          <w:marLeft w:val="547"/>
          <w:marRight w:val="0"/>
          <w:marTop w:val="130"/>
          <w:marBottom w:val="0"/>
          <w:divBdr>
            <w:top w:val="none" w:sz="0" w:space="0" w:color="auto"/>
            <w:left w:val="none" w:sz="0" w:space="0" w:color="auto"/>
            <w:bottom w:val="none" w:sz="0" w:space="0" w:color="auto"/>
            <w:right w:val="none" w:sz="0" w:space="0" w:color="auto"/>
          </w:divBdr>
        </w:div>
        <w:div w:id="1049301112">
          <w:marLeft w:val="1166"/>
          <w:marRight w:val="0"/>
          <w:marTop w:val="115"/>
          <w:marBottom w:val="0"/>
          <w:divBdr>
            <w:top w:val="none" w:sz="0" w:space="0" w:color="auto"/>
            <w:left w:val="none" w:sz="0" w:space="0" w:color="auto"/>
            <w:bottom w:val="none" w:sz="0" w:space="0" w:color="auto"/>
            <w:right w:val="none" w:sz="0" w:space="0" w:color="auto"/>
          </w:divBdr>
        </w:div>
      </w:divsChild>
    </w:div>
    <w:div w:id="1324549747">
      <w:bodyDiv w:val="1"/>
      <w:marLeft w:val="0"/>
      <w:marRight w:val="0"/>
      <w:marTop w:val="0"/>
      <w:marBottom w:val="0"/>
      <w:divBdr>
        <w:top w:val="none" w:sz="0" w:space="0" w:color="auto"/>
        <w:left w:val="none" w:sz="0" w:space="0" w:color="auto"/>
        <w:bottom w:val="none" w:sz="0" w:space="0" w:color="auto"/>
        <w:right w:val="none" w:sz="0" w:space="0" w:color="auto"/>
      </w:divBdr>
    </w:div>
    <w:div w:id="1562329005">
      <w:bodyDiv w:val="1"/>
      <w:marLeft w:val="0"/>
      <w:marRight w:val="0"/>
      <w:marTop w:val="0"/>
      <w:marBottom w:val="0"/>
      <w:divBdr>
        <w:top w:val="none" w:sz="0" w:space="0" w:color="auto"/>
        <w:left w:val="none" w:sz="0" w:space="0" w:color="auto"/>
        <w:bottom w:val="none" w:sz="0" w:space="0" w:color="auto"/>
        <w:right w:val="none" w:sz="0" w:space="0" w:color="auto"/>
      </w:divBdr>
    </w:div>
    <w:div w:id="1601451912">
      <w:bodyDiv w:val="1"/>
      <w:marLeft w:val="0"/>
      <w:marRight w:val="0"/>
      <w:marTop w:val="0"/>
      <w:marBottom w:val="0"/>
      <w:divBdr>
        <w:top w:val="none" w:sz="0" w:space="0" w:color="auto"/>
        <w:left w:val="none" w:sz="0" w:space="0" w:color="auto"/>
        <w:bottom w:val="none" w:sz="0" w:space="0" w:color="auto"/>
        <w:right w:val="none" w:sz="0" w:space="0" w:color="auto"/>
      </w:divBdr>
    </w:div>
    <w:div w:id="1604651138">
      <w:bodyDiv w:val="1"/>
      <w:marLeft w:val="0"/>
      <w:marRight w:val="0"/>
      <w:marTop w:val="0"/>
      <w:marBottom w:val="0"/>
      <w:divBdr>
        <w:top w:val="none" w:sz="0" w:space="0" w:color="auto"/>
        <w:left w:val="none" w:sz="0" w:space="0" w:color="auto"/>
        <w:bottom w:val="none" w:sz="0" w:space="0" w:color="auto"/>
        <w:right w:val="none" w:sz="0" w:space="0" w:color="auto"/>
      </w:divBdr>
      <w:divsChild>
        <w:div w:id="1535390622">
          <w:marLeft w:val="547"/>
          <w:marRight w:val="0"/>
          <w:marTop w:val="130"/>
          <w:marBottom w:val="0"/>
          <w:divBdr>
            <w:top w:val="none" w:sz="0" w:space="0" w:color="auto"/>
            <w:left w:val="none" w:sz="0" w:space="0" w:color="auto"/>
            <w:bottom w:val="none" w:sz="0" w:space="0" w:color="auto"/>
            <w:right w:val="none" w:sz="0" w:space="0" w:color="auto"/>
          </w:divBdr>
        </w:div>
        <w:div w:id="1012612056">
          <w:marLeft w:val="1166"/>
          <w:marRight w:val="0"/>
          <w:marTop w:val="115"/>
          <w:marBottom w:val="0"/>
          <w:divBdr>
            <w:top w:val="none" w:sz="0" w:space="0" w:color="auto"/>
            <w:left w:val="none" w:sz="0" w:space="0" w:color="auto"/>
            <w:bottom w:val="none" w:sz="0" w:space="0" w:color="auto"/>
            <w:right w:val="none" w:sz="0" w:space="0" w:color="auto"/>
          </w:divBdr>
        </w:div>
      </w:divsChild>
    </w:div>
    <w:div w:id="1724015294">
      <w:bodyDiv w:val="1"/>
      <w:marLeft w:val="0"/>
      <w:marRight w:val="0"/>
      <w:marTop w:val="0"/>
      <w:marBottom w:val="0"/>
      <w:divBdr>
        <w:top w:val="none" w:sz="0" w:space="0" w:color="auto"/>
        <w:left w:val="none" w:sz="0" w:space="0" w:color="auto"/>
        <w:bottom w:val="none" w:sz="0" w:space="0" w:color="auto"/>
        <w:right w:val="none" w:sz="0" w:space="0" w:color="auto"/>
      </w:divBdr>
    </w:div>
    <w:div w:id="1878085322">
      <w:bodyDiv w:val="1"/>
      <w:marLeft w:val="0"/>
      <w:marRight w:val="0"/>
      <w:marTop w:val="0"/>
      <w:marBottom w:val="0"/>
      <w:divBdr>
        <w:top w:val="none" w:sz="0" w:space="0" w:color="auto"/>
        <w:left w:val="none" w:sz="0" w:space="0" w:color="auto"/>
        <w:bottom w:val="none" w:sz="0" w:space="0" w:color="auto"/>
        <w:right w:val="none" w:sz="0" w:space="0" w:color="auto"/>
      </w:divBdr>
    </w:div>
    <w:div w:id="20264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B710A-E8B3-4924-A509-4CE7A14F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33</Pages>
  <Words>11984</Words>
  <Characters>68314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Lawday</dc:creator>
  <cp:lastModifiedBy>Andrew Lawday</cp:lastModifiedBy>
  <cp:revision>45</cp:revision>
  <dcterms:created xsi:type="dcterms:W3CDTF">2013-03-27T23:10:00Z</dcterms:created>
  <dcterms:modified xsi:type="dcterms:W3CDTF">2013-03-28T09:26:00Z</dcterms:modified>
</cp:coreProperties>
</file>