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70" w:rsidRPr="00694670" w:rsidRDefault="00694670" w:rsidP="00694670">
      <w:pPr>
        <w:rPr>
          <w:rFonts w:ascii="Verdana" w:hAnsi="Verdana"/>
          <w:b/>
          <w:color w:val="ED1350"/>
          <w:sz w:val="24"/>
        </w:rPr>
      </w:pPr>
      <w:r w:rsidRPr="00694670">
        <w:rPr>
          <w:rFonts w:ascii="Verdana" w:hAnsi="Verdana"/>
          <w:b/>
          <w:noProof/>
          <w:color w:val="ED135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6DDEF9DD" wp14:editId="1E247B4A">
            <wp:simplePos x="0" y="0"/>
            <wp:positionH relativeFrom="column">
              <wp:posOffset>4598411</wp:posOffset>
            </wp:positionH>
            <wp:positionV relativeFrom="paragraph">
              <wp:posOffset>-307573</wp:posOffset>
            </wp:positionV>
            <wp:extent cx="1068081" cy="598006"/>
            <wp:effectExtent l="0" t="0" r="0" b="0"/>
            <wp:wrapNone/>
            <wp:docPr id="1" name="Grafik 1" descr="C:\Users\Dama\Desktop\HAI-network-log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a\Desktop\HAI-network-logo-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81" cy="59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694670">
        <w:rPr>
          <w:rFonts w:ascii="Verdana" w:hAnsi="Verdana"/>
          <w:b/>
          <w:color w:val="ED1350"/>
        </w:rPr>
        <w:t>Notas</w:t>
      </w:r>
      <w:proofErr w:type="spellEnd"/>
      <w:r w:rsidRPr="00694670">
        <w:rPr>
          <w:rFonts w:ascii="Verdana" w:hAnsi="Verdana"/>
          <w:b/>
          <w:color w:val="ED1350"/>
        </w:rPr>
        <w:t xml:space="preserve"> </w:t>
      </w:r>
      <w:proofErr w:type="spellStart"/>
      <w:r w:rsidRPr="00694670">
        <w:rPr>
          <w:rFonts w:ascii="Verdana" w:hAnsi="Verdana"/>
          <w:b/>
          <w:color w:val="ED1350"/>
        </w:rPr>
        <w:t>finais</w:t>
      </w:r>
      <w:proofErr w:type="spellEnd"/>
      <w:r w:rsidRPr="00694670">
        <w:rPr>
          <w:rFonts w:ascii="Verdana" w:hAnsi="Verdana"/>
          <w:b/>
          <w:bCs/>
          <w:sz w:val="14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br/>
      </w:r>
      <w:r w:rsidRPr="00694670">
        <w:rPr>
          <w:rFonts w:ascii="Verdana" w:hAnsi="Verdana"/>
          <w:b/>
          <w:bCs/>
          <w:sz w:val="16"/>
          <w:szCs w:val="16"/>
        </w:rPr>
        <w:t>1.</w:t>
      </w:r>
      <w:proofErr w:type="gramEnd"/>
      <w:r w:rsidRPr="00694670">
        <w:rPr>
          <w:rFonts w:ascii="Verdana" w:hAnsi="Verdana"/>
          <w:sz w:val="16"/>
          <w:szCs w:val="16"/>
        </w:rPr>
        <w:t xml:space="preserve"> </w:t>
      </w:r>
      <w:proofErr w:type="spellStart"/>
      <w:r w:rsidRPr="00694670">
        <w:rPr>
          <w:rFonts w:ascii="Verdana" w:hAnsi="Verdana"/>
          <w:sz w:val="16"/>
          <w:szCs w:val="16"/>
        </w:rPr>
        <w:t>Justino</w:t>
      </w:r>
      <w:proofErr w:type="spellEnd"/>
      <w:r w:rsidRPr="00694670">
        <w:rPr>
          <w:rFonts w:ascii="Verdana" w:hAnsi="Verdana"/>
          <w:sz w:val="16"/>
          <w:szCs w:val="16"/>
        </w:rPr>
        <w:t xml:space="preserve"> P, </w:t>
      </w:r>
      <w:r w:rsidRPr="00694670">
        <w:rPr>
          <w:rFonts w:ascii="Verdana" w:hAnsi="Verdana"/>
          <w:i/>
          <w:iCs/>
          <w:sz w:val="16"/>
          <w:szCs w:val="16"/>
        </w:rPr>
        <w:t>The impact of the armed conflict on household welfare and policy responses,</w:t>
      </w:r>
      <w:r w:rsidRPr="00694670">
        <w:rPr>
          <w:rFonts w:ascii="Verdana" w:hAnsi="Verdana"/>
          <w:sz w:val="16"/>
          <w:szCs w:val="16"/>
        </w:rPr>
        <w:t xml:space="preserve"> UNDESA Background paper, 2008, </w:t>
      </w:r>
      <w:hyperlink r:id="rId6" w:history="1">
        <w:r w:rsidRPr="00570500">
          <w:rPr>
            <w:rStyle w:val="Hyperlink"/>
            <w:rFonts w:ascii="Verdana" w:hAnsi="Verdana"/>
            <w:sz w:val="16"/>
            <w:szCs w:val="16"/>
          </w:rPr>
          <w:t>http://www.un.org/en/development/desa/policy/wess/wess_bg_papers/bp_wess2008_justino.pdf</w:t>
        </w:r>
      </w:hyperlink>
      <w:r>
        <w:rPr>
          <w:rFonts w:ascii="Verdana" w:hAnsi="Verdana"/>
          <w:sz w:val="16"/>
          <w:szCs w:val="16"/>
        </w:rPr>
        <w:t xml:space="preserve"> </w:t>
      </w:r>
      <w:r w:rsidRPr="00694670">
        <w:rPr>
          <w:rFonts w:ascii="Verdana" w:hAnsi="Verdana"/>
          <w:sz w:val="16"/>
          <w:szCs w:val="16"/>
        </w:rPr>
        <w:t xml:space="preserve"> (3 May 2015)</w:t>
      </w:r>
    </w:p>
    <w:p w:rsidR="00694670" w:rsidRPr="00694670" w:rsidRDefault="00694670" w:rsidP="00694670">
      <w:pPr>
        <w:pStyle w:val="07Photocredits"/>
        <w:spacing w:after="62"/>
        <w:rPr>
          <w:rFonts w:ascii="Verdana" w:hAnsi="Verdana"/>
          <w:sz w:val="16"/>
          <w:szCs w:val="16"/>
        </w:rPr>
      </w:pPr>
      <w:r w:rsidRPr="00694670">
        <w:rPr>
          <w:rFonts w:ascii="Verdana" w:hAnsi="Verdana"/>
          <w:b/>
          <w:bCs/>
          <w:sz w:val="16"/>
          <w:szCs w:val="16"/>
        </w:rPr>
        <w:t>2.</w:t>
      </w:r>
      <w:r w:rsidRPr="00694670">
        <w:rPr>
          <w:rFonts w:ascii="Verdana" w:hAnsi="Verdana"/>
          <w:sz w:val="16"/>
          <w:szCs w:val="16"/>
        </w:rPr>
        <w:t xml:space="preserve"> Hank K “How “successful” do older </w:t>
      </w:r>
      <w:proofErr w:type="spellStart"/>
      <w:r w:rsidRPr="00694670">
        <w:rPr>
          <w:rFonts w:ascii="Verdana" w:hAnsi="Verdana"/>
          <w:sz w:val="16"/>
          <w:szCs w:val="16"/>
        </w:rPr>
        <w:t>europeans</w:t>
      </w:r>
      <w:proofErr w:type="spellEnd"/>
      <w:r w:rsidRPr="00694670">
        <w:rPr>
          <w:rFonts w:ascii="Verdana" w:hAnsi="Verdana"/>
          <w:sz w:val="16"/>
          <w:szCs w:val="16"/>
        </w:rPr>
        <w:t xml:space="preserve"> age? </w:t>
      </w:r>
      <w:proofErr w:type="gramStart"/>
      <w:r w:rsidRPr="00694670">
        <w:rPr>
          <w:rFonts w:ascii="Verdana" w:hAnsi="Verdana"/>
          <w:sz w:val="16"/>
          <w:szCs w:val="16"/>
        </w:rPr>
        <w:t>findings</w:t>
      </w:r>
      <w:proofErr w:type="gramEnd"/>
      <w:r w:rsidRPr="00694670">
        <w:rPr>
          <w:rFonts w:ascii="Verdana" w:hAnsi="Verdana"/>
          <w:sz w:val="16"/>
          <w:szCs w:val="16"/>
        </w:rPr>
        <w:t xml:space="preserve"> from SHARE,” </w:t>
      </w:r>
      <w:r w:rsidRPr="00694670">
        <w:rPr>
          <w:rFonts w:ascii="Verdana" w:hAnsi="Verdana"/>
          <w:i/>
          <w:iCs/>
          <w:sz w:val="16"/>
          <w:szCs w:val="16"/>
        </w:rPr>
        <w:t xml:space="preserve">Journal of Gerontology: Social Sciences, </w:t>
      </w:r>
      <w:r w:rsidRPr="00694670">
        <w:rPr>
          <w:rFonts w:ascii="Verdana" w:hAnsi="Verdana"/>
          <w:sz w:val="16"/>
          <w:szCs w:val="16"/>
        </w:rPr>
        <w:t>66B(2), 230–236, doi:10.1093/</w:t>
      </w:r>
      <w:proofErr w:type="spellStart"/>
      <w:r w:rsidRPr="00694670">
        <w:rPr>
          <w:rFonts w:ascii="Verdana" w:hAnsi="Verdana"/>
          <w:sz w:val="16"/>
          <w:szCs w:val="16"/>
        </w:rPr>
        <w:t>geronb</w:t>
      </w:r>
      <w:proofErr w:type="spellEnd"/>
      <w:r w:rsidRPr="00694670">
        <w:rPr>
          <w:rFonts w:ascii="Verdana" w:hAnsi="Verdana"/>
          <w:sz w:val="16"/>
          <w:szCs w:val="16"/>
        </w:rPr>
        <w:t>/gbq089</w:t>
      </w:r>
    </w:p>
    <w:p w:rsidR="00694670" w:rsidRPr="00694670" w:rsidRDefault="00694670" w:rsidP="00694670">
      <w:pPr>
        <w:pStyle w:val="07Photocredits"/>
        <w:spacing w:after="62"/>
        <w:rPr>
          <w:rFonts w:ascii="Verdana" w:hAnsi="Verdana"/>
          <w:sz w:val="16"/>
          <w:szCs w:val="16"/>
        </w:rPr>
      </w:pPr>
      <w:r w:rsidRPr="00694670">
        <w:rPr>
          <w:rFonts w:ascii="Verdana" w:hAnsi="Verdana"/>
          <w:b/>
          <w:bCs/>
          <w:sz w:val="16"/>
          <w:szCs w:val="16"/>
        </w:rPr>
        <w:t>3.</w:t>
      </w:r>
      <w:r w:rsidRPr="00694670">
        <w:rPr>
          <w:rFonts w:ascii="Verdana" w:hAnsi="Verdana"/>
          <w:sz w:val="16"/>
          <w:szCs w:val="16"/>
        </w:rPr>
        <w:t xml:space="preserve"> Afghanistan Human Rights Commission, </w:t>
      </w:r>
      <w:r w:rsidRPr="00694670">
        <w:rPr>
          <w:rFonts w:ascii="Verdana" w:hAnsi="Verdana"/>
          <w:i/>
          <w:iCs/>
          <w:sz w:val="16"/>
          <w:szCs w:val="16"/>
        </w:rPr>
        <w:t>Economic and Social Rights Report in Afghanistan III,</w:t>
      </w:r>
      <w:r w:rsidRPr="00694670">
        <w:rPr>
          <w:rFonts w:ascii="Verdana" w:hAnsi="Verdana"/>
          <w:sz w:val="16"/>
          <w:szCs w:val="16"/>
        </w:rPr>
        <w:t xml:space="preserve"> 2008, </w:t>
      </w:r>
      <w:hyperlink r:id="rId7" w:history="1">
        <w:r w:rsidRPr="00570500">
          <w:rPr>
            <w:rStyle w:val="Hyperlink"/>
            <w:rFonts w:ascii="Verdana" w:hAnsi="Verdana"/>
            <w:sz w:val="16"/>
            <w:szCs w:val="16"/>
          </w:rPr>
          <w:t>www.refworld.org/pdfid/4a03f56b2.pdf</w:t>
        </w:r>
      </w:hyperlink>
      <w:r>
        <w:rPr>
          <w:rFonts w:ascii="Verdana" w:hAnsi="Verdana"/>
          <w:sz w:val="16"/>
          <w:szCs w:val="16"/>
        </w:rPr>
        <w:t xml:space="preserve"> </w:t>
      </w:r>
    </w:p>
    <w:p w:rsidR="00694670" w:rsidRPr="00694670" w:rsidRDefault="00694670" w:rsidP="00694670">
      <w:pPr>
        <w:pStyle w:val="07Photocredits"/>
        <w:spacing w:after="62"/>
        <w:rPr>
          <w:rFonts w:ascii="Verdana" w:hAnsi="Verdana"/>
          <w:sz w:val="16"/>
          <w:szCs w:val="16"/>
        </w:rPr>
      </w:pPr>
      <w:r w:rsidRPr="00694670">
        <w:rPr>
          <w:rFonts w:ascii="Verdana" w:hAnsi="Verdana"/>
          <w:b/>
          <w:bCs/>
          <w:sz w:val="16"/>
          <w:szCs w:val="16"/>
        </w:rPr>
        <w:t>4.</w:t>
      </w:r>
      <w:r w:rsidRPr="00694670">
        <w:rPr>
          <w:rFonts w:ascii="Verdana" w:hAnsi="Verdana"/>
          <w:sz w:val="16"/>
          <w:szCs w:val="16"/>
        </w:rPr>
        <w:t xml:space="preserve"> Calculation based on UNDESA Population Division, </w:t>
      </w:r>
      <w:r w:rsidRPr="00694670">
        <w:rPr>
          <w:rFonts w:ascii="Verdana" w:hAnsi="Verdana"/>
          <w:i/>
          <w:iCs/>
          <w:sz w:val="16"/>
          <w:szCs w:val="16"/>
        </w:rPr>
        <w:t xml:space="preserve">World population prospects: the 2015 revision, </w:t>
      </w:r>
      <w:r w:rsidRPr="00694670">
        <w:rPr>
          <w:rFonts w:ascii="Verdana" w:hAnsi="Verdana"/>
          <w:sz w:val="16"/>
          <w:szCs w:val="16"/>
        </w:rPr>
        <w:t>DVD Edition, 2015</w:t>
      </w:r>
    </w:p>
    <w:p w:rsidR="00694670" w:rsidRPr="00694670" w:rsidRDefault="00694670" w:rsidP="00694670">
      <w:pPr>
        <w:pStyle w:val="07Photocredits"/>
        <w:spacing w:after="62"/>
        <w:rPr>
          <w:rFonts w:ascii="Verdana" w:hAnsi="Verdana"/>
          <w:sz w:val="16"/>
          <w:szCs w:val="16"/>
        </w:rPr>
      </w:pPr>
      <w:r w:rsidRPr="00694670">
        <w:rPr>
          <w:rFonts w:ascii="Verdana" w:hAnsi="Verdana"/>
          <w:b/>
          <w:bCs/>
          <w:sz w:val="16"/>
          <w:szCs w:val="16"/>
        </w:rPr>
        <w:t>5.</w:t>
      </w:r>
      <w:r w:rsidRPr="00694670">
        <w:rPr>
          <w:rFonts w:ascii="Verdana" w:hAnsi="Verdana"/>
          <w:sz w:val="16"/>
          <w:szCs w:val="16"/>
        </w:rPr>
        <w:t xml:space="preserve"> </w:t>
      </w:r>
      <w:proofErr w:type="spellStart"/>
      <w:r w:rsidRPr="00694670">
        <w:rPr>
          <w:rFonts w:ascii="Verdana" w:hAnsi="Verdana"/>
          <w:sz w:val="16"/>
          <w:szCs w:val="16"/>
        </w:rPr>
        <w:t>EuroHealthNet</w:t>
      </w:r>
      <w:proofErr w:type="spellEnd"/>
      <w:r w:rsidRPr="00694670">
        <w:rPr>
          <w:rFonts w:ascii="Verdana" w:hAnsi="Verdana"/>
          <w:sz w:val="16"/>
          <w:szCs w:val="16"/>
        </w:rPr>
        <w:t>/Federal Centre for Health Education (</w:t>
      </w:r>
      <w:proofErr w:type="spellStart"/>
      <w:r w:rsidRPr="00694670">
        <w:rPr>
          <w:rFonts w:ascii="Verdana" w:hAnsi="Verdana"/>
          <w:sz w:val="16"/>
          <w:szCs w:val="16"/>
        </w:rPr>
        <w:t>BZgA</w:t>
      </w:r>
      <w:proofErr w:type="spellEnd"/>
      <w:r w:rsidRPr="00694670">
        <w:rPr>
          <w:rFonts w:ascii="Verdana" w:hAnsi="Verdana"/>
          <w:sz w:val="16"/>
          <w:szCs w:val="16"/>
        </w:rPr>
        <w:t xml:space="preserve">), </w:t>
      </w:r>
      <w:r w:rsidRPr="00694670">
        <w:rPr>
          <w:rFonts w:ascii="Verdana" w:hAnsi="Verdana"/>
          <w:i/>
          <w:iCs/>
          <w:sz w:val="16"/>
          <w:szCs w:val="16"/>
        </w:rPr>
        <w:t>Healthy and active ageing,</w:t>
      </w:r>
      <w:r w:rsidRPr="00694670">
        <w:rPr>
          <w:rFonts w:ascii="Verdana" w:hAnsi="Verdana"/>
          <w:sz w:val="16"/>
          <w:szCs w:val="16"/>
        </w:rPr>
        <w:t xml:space="preserve"> A report</w:t>
      </w:r>
      <w:r>
        <w:rPr>
          <w:rFonts w:ascii="Verdana" w:hAnsi="Verdana"/>
          <w:sz w:val="16"/>
          <w:szCs w:val="16"/>
        </w:rPr>
        <w:t xml:space="preserve"> </w:t>
      </w:r>
      <w:r w:rsidRPr="00694670">
        <w:rPr>
          <w:rFonts w:ascii="Verdana" w:hAnsi="Verdana"/>
          <w:sz w:val="16"/>
          <w:szCs w:val="16"/>
        </w:rPr>
        <w:t xml:space="preserve">commissioned by </w:t>
      </w:r>
      <w:proofErr w:type="spellStart"/>
      <w:r w:rsidRPr="00694670">
        <w:rPr>
          <w:rFonts w:ascii="Verdana" w:hAnsi="Verdana"/>
          <w:sz w:val="16"/>
          <w:szCs w:val="16"/>
        </w:rPr>
        <w:t>BZgA</w:t>
      </w:r>
      <w:proofErr w:type="spellEnd"/>
      <w:r w:rsidRPr="00694670">
        <w:rPr>
          <w:rFonts w:ascii="Verdana" w:hAnsi="Verdana"/>
          <w:sz w:val="16"/>
          <w:szCs w:val="16"/>
        </w:rPr>
        <w:t>, Brussels, 2012, www.healthyageing.eu/sites/</w:t>
      </w:r>
      <w:r w:rsidRPr="00694670">
        <w:rPr>
          <w:rFonts w:ascii="Verdana" w:hAnsi="Verdana"/>
          <w:sz w:val="16"/>
          <w:szCs w:val="16"/>
        </w:rPr>
        <w:br/>
      </w:r>
      <w:hyperlink r:id="rId8" w:history="1">
        <w:r w:rsidRPr="00570500">
          <w:rPr>
            <w:rStyle w:val="Hyperlink"/>
            <w:rFonts w:ascii="Verdana" w:hAnsi="Verdana"/>
            <w:sz w:val="16"/>
            <w:szCs w:val="16"/>
          </w:rPr>
          <w:t>www.healthyageing.eu/files/featured/Healthy%20and%20Active%20Ageing.pdf</w:t>
        </w:r>
      </w:hyperlink>
      <w:r>
        <w:rPr>
          <w:rFonts w:ascii="Verdana" w:hAnsi="Verdana"/>
          <w:sz w:val="16"/>
          <w:szCs w:val="16"/>
        </w:rPr>
        <w:t xml:space="preserve"> </w:t>
      </w:r>
    </w:p>
    <w:p w:rsidR="00694670" w:rsidRPr="00694670" w:rsidRDefault="002F5A01" w:rsidP="00694670">
      <w:pPr>
        <w:pStyle w:val="07Photocredits"/>
        <w:spacing w:after="62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6</w:t>
      </w:r>
      <w:r w:rsidR="00694670" w:rsidRPr="00694670">
        <w:rPr>
          <w:rFonts w:ascii="Verdana" w:hAnsi="Verdana"/>
          <w:b/>
          <w:bCs/>
          <w:sz w:val="16"/>
          <w:szCs w:val="16"/>
        </w:rPr>
        <w:t>.</w:t>
      </w:r>
      <w:r w:rsidR="00694670" w:rsidRPr="00694670">
        <w:rPr>
          <w:rFonts w:ascii="Verdana" w:hAnsi="Verdana"/>
          <w:sz w:val="16"/>
          <w:szCs w:val="16"/>
        </w:rPr>
        <w:t xml:space="preserve"> Calculated average based on WHO Global Health Observatory Data Repository,</w:t>
      </w:r>
      <w:r w:rsidR="00694670">
        <w:rPr>
          <w:rFonts w:ascii="Verdana" w:hAnsi="Verdana"/>
          <w:sz w:val="16"/>
          <w:szCs w:val="16"/>
        </w:rPr>
        <w:t xml:space="preserve"> </w:t>
      </w:r>
      <w:r w:rsidR="00694670" w:rsidRPr="00694670">
        <w:rPr>
          <w:rFonts w:ascii="Verdana" w:hAnsi="Verdana"/>
          <w:sz w:val="16"/>
          <w:szCs w:val="16"/>
        </w:rPr>
        <w:br/>
        <w:t xml:space="preserve">Life expectancy at age 60 both sexes, </w:t>
      </w:r>
      <w:hyperlink r:id="rId9" w:history="1">
        <w:r w:rsidR="00694670" w:rsidRPr="00570500">
          <w:rPr>
            <w:rStyle w:val="Hyperlink"/>
            <w:rFonts w:ascii="Verdana" w:hAnsi="Verdana"/>
            <w:sz w:val="16"/>
            <w:szCs w:val="16"/>
          </w:rPr>
          <w:t>http://apps.who.int/gho/data/view.main.700?lang=en</w:t>
        </w:r>
      </w:hyperlink>
      <w:r w:rsidR="00694670">
        <w:rPr>
          <w:rFonts w:ascii="Verdana" w:hAnsi="Verdana"/>
          <w:sz w:val="16"/>
          <w:szCs w:val="16"/>
        </w:rPr>
        <w:t xml:space="preserve"> </w:t>
      </w:r>
      <w:r w:rsidR="00694670" w:rsidRPr="00694670">
        <w:rPr>
          <w:rFonts w:ascii="Verdana" w:hAnsi="Verdana"/>
          <w:sz w:val="16"/>
          <w:szCs w:val="16"/>
        </w:rPr>
        <w:t xml:space="preserve"> </w:t>
      </w:r>
      <w:r w:rsidR="00694670" w:rsidRPr="00694670">
        <w:rPr>
          <w:rFonts w:ascii="Verdana" w:hAnsi="Verdana"/>
          <w:sz w:val="16"/>
          <w:szCs w:val="16"/>
        </w:rPr>
        <w:br/>
        <w:t xml:space="preserve">(10 June 2015); data for West Bank and Gaza is taken from Profiles of Ageing 2013, </w:t>
      </w:r>
      <w:r w:rsidR="00694670" w:rsidRPr="00694670">
        <w:rPr>
          <w:rFonts w:ascii="Verdana" w:hAnsi="Verdana"/>
          <w:sz w:val="16"/>
          <w:szCs w:val="16"/>
        </w:rPr>
        <w:br/>
      </w:r>
      <w:hyperlink r:id="rId10" w:history="1">
        <w:r w:rsidR="00694670" w:rsidRPr="00570500">
          <w:rPr>
            <w:rStyle w:val="Hyperlink"/>
            <w:rFonts w:ascii="Verdana" w:hAnsi="Verdana"/>
            <w:sz w:val="16"/>
            <w:szCs w:val="16"/>
          </w:rPr>
          <w:t>http://esa.un.org/unpd/popdev/AgingProfiles2013/default.aspx</w:t>
        </w:r>
      </w:hyperlink>
      <w:r w:rsidR="00694670">
        <w:rPr>
          <w:rFonts w:ascii="Verdana" w:hAnsi="Verdana"/>
          <w:sz w:val="16"/>
          <w:szCs w:val="16"/>
        </w:rPr>
        <w:t xml:space="preserve"> </w:t>
      </w:r>
      <w:r w:rsidR="00694670" w:rsidRPr="00694670">
        <w:rPr>
          <w:rFonts w:ascii="Verdana" w:hAnsi="Verdana"/>
          <w:sz w:val="16"/>
          <w:szCs w:val="16"/>
        </w:rPr>
        <w:t>(23 July 2015)</w:t>
      </w:r>
    </w:p>
    <w:p w:rsidR="00694670" w:rsidRPr="00694670" w:rsidRDefault="002F5A01" w:rsidP="00694670">
      <w:pPr>
        <w:pStyle w:val="07Photocredits"/>
        <w:spacing w:after="62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7</w:t>
      </w:r>
      <w:r w:rsidR="00694670" w:rsidRPr="00694670">
        <w:rPr>
          <w:rFonts w:ascii="Verdana" w:hAnsi="Verdana"/>
          <w:b/>
          <w:bCs/>
          <w:sz w:val="16"/>
          <w:szCs w:val="16"/>
        </w:rPr>
        <w:t>.</w:t>
      </w:r>
      <w:r w:rsidR="00694670" w:rsidRPr="00694670">
        <w:rPr>
          <w:rFonts w:ascii="Verdana" w:hAnsi="Verdana"/>
          <w:sz w:val="16"/>
          <w:szCs w:val="16"/>
        </w:rPr>
        <w:t xml:space="preserve"> WHO Global Health Observatory Data Repository, Global Burden of Disease, Life expectancy at age 60, </w:t>
      </w:r>
      <w:hyperlink r:id="rId11" w:history="1">
        <w:r w:rsidR="00694670" w:rsidRPr="00570500">
          <w:rPr>
            <w:rStyle w:val="Hyperlink"/>
            <w:rFonts w:ascii="Verdana" w:hAnsi="Verdana"/>
            <w:sz w:val="16"/>
            <w:szCs w:val="16"/>
          </w:rPr>
          <w:t>http://apps.who.int/gho/data/node.main.688?lang=en</w:t>
        </w:r>
      </w:hyperlink>
      <w:r w:rsidR="00694670">
        <w:rPr>
          <w:rFonts w:ascii="Verdana" w:hAnsi="Verdana"/>
          <w:sz w:val="16"/>
          <w:szCs w:val="16"/>
        </w:rPr>
        <w:t xml:space="preserve"> </w:t>
      </w:r>
      <w:r w:rsidR="00694670" w:rsidRPr="00694670">
        <w:rPr>
          <w:rFonts w:ascii="Verdana" w:hAnsi="Verdana"/>
          <w:sz w:val="16"/>
          <w:szCs w:val="16"/>
        </w:rPr>
        <w:t>(23 July 2015)</w:t>
      </w:r>
    </w:p>
    <w:p w:rsidR="00694670" w:rsidRPr="0098513A" w:rsidRDefault="0098513A" w:rsidP="00694670">
      <w:pPr>
        <w:pStyle w:val="07Photocredits"/>
        <w:spacing w:after="62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8</w:t>
      </w:r>
      <w:r w:rsidR="00694670" w:rsidRPr="00694670">
        <w:rPr>
          <w:rFonts w:ascii="Verdana" w:hAnsi="Verdana"/>
          <w:b/>
          <w:bCs/>
          <w:sz w:val="16"/>
          <w:szCs w:val="16"/>
        </w:rPr>
        <w:t>.</w:t>
      </w:r>
      <w:r w:rsidR="00694670" w:rsidRPr="00694670">
        <w:rPr>
          <w:rFonts w:ascii="Verdana" w:hAnsi="Verdana"/>
          <w:sz w:val="16"/>
          <w:szCs w:val="16"/>
        </w:rPr>
        <w:t xml:space="preserve"> Bottom 10 countries exclude West Bank and Gaza. Calculation based on </w:t>
      </w:r>
      <w:proofErr w:type="spellStart"/>
      <w:r w:rsidR="00694670" w:rsidRPr="00694670">
        <w:rPr>
          <w:rFonts w:ascii="Verdana" w:hAnsi="Verdana"/>
          <w:sz w:val="16"/>
          <w:szCs w:val="16"/>
        </w:rPr>
        <w:t>Barro</w:t>
      </w:r>
      <w:proofErr w:type="spellEnd"/>
      <w:r w:rsidR="00694670" w:rsidRPr="00694670">
        <w:rPr>
          <w:rFonts w:ascii="Verdana" w:hAnsi="Verdana"/>
          <w:sz w:val="16"/>
          <w:szCs w:val="16"/>
        </w:rPr>
        <w:t xml:space="preserve"> and Lee Educational attainment (total secondary and tertiary) of people age 60 and over both sexes, version 2.0, </w:t>
      </w:r>
      <w:hyperlink r:id="rId12" w:history="1">
        <w:r w:rsidR="00694670" w:rsidRPr="00570500">
          <w:rPr>
            <w:rStyle w:val="Hyperlink"/>
            <w:rFonts w:ascii="Verdana" w:hAnsi="Verdana"/>
            <w:sz w:val="16"/>
            <w:szCs w:val="16"/>
          </w:rPr>
          <w:t>www.barrolee.com</w:t>
        </w:r>
      </w:hyperlink>
      <w:r w:rsidR="00694670">
        <w:rPr>
          <w:rFonts w:ascii="Verdana" w:hAnsi="Verdana"/>
          <w:sz w:val="16"/>
          <w:szCs w:val="16"/>
        </w:rPr>
        <w:t xml:space="preserve"> </w:t>
      </w:r>
      <w:r w:rsidR="00694670" w:rsidRPr="00694670">
        <w:rPr>
          <w:rFonts w:ascii="Verdana" w:hAnsi="Verdana"/>
          <w:sz w:val="16"/>
          <w:szCs w:val="16"/>
        </w:rPr>
        <w:t xml:space="preserve"> (21 May 2015)</w:t>
      </w:r>
    </w:p>
    <w:p w:rsidR="00694670" w:rsidRPr="00694670" w:rsidRDefault="0098513A" w:rsidP="00694670">
      <w:pPr>
        <w:pStyle w:val="07Photocredits"/>
        <w:spacing w:after="62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9</w:t>
      </w:r>
      <w:r w:rsidR="00694670" w:rsidRPr="00694670">
        <w:rPr>
          <w:rFonts w:ascii="Verdana" w:hAnsi="Verdana"/>
          <w:b/>
          <w:bCs/>
          <w:sz w:val="16"/>
          <w:szCs w:val="16"/>
        </w:rPr>
        <w:t>.</w:t>
      </w:r>
      <w:r w:rsidR="00694670" w:rsidRPr="00694670">
        <w:rPr>
          <w:rFonts w:ascii="Verdana" w:hAnsi="Verdana"/>
          <w:sz w:val="16"/>
          <w:szCs w:val="16"/>
        </w:rPr>
        <w:t xml:space="preserve"> OECD Stat, Social Protection and Well-being, Income distribution and poverty, Poverty rate after taxes and transfers, age group 66-75, 76+, </w:t>
      </w:r>
      <w:hyperlink r:id="rId13" w:history="1">
        <w:r w:rsidR="00694670" w:rsidRPr="00570500">
          <w:rPr>
            <w:rStyle w:val="Hyperlink"/>
            <w:rFonts w:ascii="Verdana" w:hAnsi="Verdana"/>
            <w:sz w:val="16"/>
            <w:szCs w:val="16"/>
          </w:rPr>
          <w:t>http://stats.oecd.org/</w:t>
        </w:r>
      </w:hyperlink>
      <w:r w:rsidR="00694670">
        <w:rPr>
          <w:rFonts w:ascii="Verdana" w:hAnsi="Verdana"/>
          <w:sz w:val="16"/>
          <w:szCs w:val="16"/>
        </w:rPr>
        <w:t xml:space="preserve"> </w:t>
      </w:r>
      <w:r w:rsidR="00694670" w:rsidRPr="00694670">
        <w:rPr>
          <w:rFonts w:ascii="Verdana" w:hAnsi="Verdana"/>
          <w:sz w:val="16"/>
          <w:szCs w:val="16"/>
        </w:rPr>
        <w:t>(22 June 2015)</w:t>
      </w:r>
    </w:p>
    <w:p w:rsidR="00694670" w:rsidRPr="00694670" w:rsidRDefault="0098513A" w:rsidP="00694670">
      <w:pPr>
        <w:pStyle w:val="07Photocredits"/>
        <w:spacing w:after="62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10</w:t>
      </w:r>
      <w:r w:rsidR="00694670" w:rsidRPr="00694670">
        <w:rPr>
          <w:rFonts w:ascii="Verdana" w:hAnsi="Verdana"/>
          <w:b/>
          <w:bCs/>
          <w:sz w:val="16"/>
          <w:szCs w:val="16"/>
        </w:rPr>
        <w:t>.</w:t>
      </w:r>
      <w:r w:rsidR="00694670" w:rsidRPr="00694670">
        <w:rPr>
          <w:rFonts w:ascii="Verdana" w:hAnsi="Verdana"/>
          <w:sz w:val="16"/>
          <w:szCs w:val="16"/>
        </w:rPr>
        <w:t xml:space="preserve"> Calculated average based on ILO Key Indicators of the Labour Market, Labour force participation rate, 2013, </w:t>
      </w:r>
      <w:hyperlink r:id="rId14" w:history="1">
        <w:r w:rsidR="00694670" w:rsidRPr="00570500">
          <w:rPr>
            <w:rStyle w:val="Hyperlink"/>
            <w:rFonts w:ascii="Verdana" w:hAnsi="Verdana"/>
            <w:sz w:val="16"/>
            <w:szCs w:val="16"/>
          </w:rPr>
          <w:t>www.ilo.org</w:t>
        </w:r>
      </w:hyperlink>
      <w:r w:rsidR="00694670">
        <w:rPr>
          <w:rFonts w:ascii="Verdana" w:hAnsi="Verdana"/>
          <w:sz w:val="16"/>
          <w:szCs w:val="16"/>
        </w:rPr>
        <w:t xml:space="preserve"> </w:t>
      </w:r>
      <w:r w:rsidR="00694670" w:rsidRPr="00694670">
        <w:rPr>
          <w:rFonts w:ascii="Verdana" w:hAnsi="Verdana"/>
          <w:sz w:val="16"/>
          <w:szCs w:val="16"/>
        </w:rPr>
        <w:t>(8 June 2015)</w:t>
      </w:r>
    </w:p>
    <w:p w:rsidR="00694670" w:rsidRPr="00694670" w:rsidRDefault="0098513A" w:rsidP="00694670">
      <w:pPr>
        <w:pStyle w:val="07Photocredits"/>
        <w:spacing w:after="62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11</w:t>
      </w:r>
      <w:r w:rsidR="00694670" w:rsidRPr="00694670">
        <w:rPr>
          <w:rFonts w:ascii="Verdana" w:hAnsi="Verdana"/>
          <w:b/>
          <w:bCs/>
          <w:sz w:val="16"/>
          <w:szCs w:val="16"/>
        </w:rPr>
        <w:t>.</w:t>
      </w:r>
      <w:r w:rsidR="00694670" w:rsidRPr="00694670">
        <w:rPr>
          <w:rFonts w:ascii="Verdana" w:hAnsi="Verdana"/>
          <w:sz w:val="16"/>
          <w:szCs w:val="16"/>
        </w:rPr>
        <w:t xml:space="preserve"> International Labour Office, </w:t>
      </w:r>
      <w:r w:rsidR="00694670" w:rsidRPr="00694670">
        <w:rPr>
          <w:rFonts w:ascii="Verdana" w:hAnsi="Verdana"/>
          <w:i/>
          <w:iCs/>
          <w:sz w:val="16"/>
          <w:szCs w:val="16"/>
        </w:rPr>
        <w:t xml:space="preserve">World Social Protection Report 2014/15: Building economic recovery, inclusive development and social justice, </w:t>
      </w:r>
      <w:r w:rsidR="00694670" w:rsidRPr="00694670">
        <w:rPr>
          <w:rFonts w:ascii="Verdana" w:hAnsi="Verdana"/>
          <w:sz w:val="16"/>
          <w:szCs w:val="16"/>
        </w:rPr>
        <w:t>Geneva, ILO, 2014. Table B.9 Old-age effective coverage, p.273</w:t>
      </w:r>
    </w:p>
    <w:p w:rsidR="00694670" w:rsidRPr="00694670" w:rsidRDefault="001554CD" w:rsidP="00694670">
      <w:pPr>
        <w:pStyle w:val="07Photocredits"/>
        <w:spacing w:after="62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12</w:t>
      </w:r>
      <w:r w:rsidR="00694670" w:rsidRPr="00694670">
        <w:rPr>
          <w:rFonts w:ascii="Verdana" w:hAnsi="Verdana"/>
          <w:b/>
          <w:bCs/>
          <w:sz w:val="16"/>
          <w:szCs w:val="16"/>
        </w:rPr>
        <w:t>.</w:t>
      </w:r>
      <w:r w:rsidR="00694670" w:rsidRPr="00694670">
        <w:rPr>
          <w:rFonts w:ascii="Verdana" w:hAnsi="Verdana"/>
          <w:sz w:val="16"/>
          <w:szCs w:val="16"/>
        </w:rPr>
        <w:t xml:space="preserve"> </w:t>
      </w:r>
      <w:r w:rsidR="00694670" w:rsidRPr="00694670">
        <w:rPr>
          <w:rFonts w:ascii="Verdana" w:hAnsi="Verdana"/>
          <w:i/>
          <w:iCs/>
          <w:sz w:val="16"/>
          <w:szCs w:val="16"/>
        </w:rPr>
        <w:t xml:space="preserve">Using data to improve lives of older people: Data collected by older citizen monitoring groups in Tanzania, </w:t>
      </w:r>
      <w:proofErr w:type="spellStart"/>
      <w:r w:rsidR="00694670" w:rsidRPr="00694670">
        <w:rPr>
          <w:rFonts w:ascii="Verdana" w:hAnsi="Verdana"/>
          <w:sz w:val="16"/>
          <w:szCs w:val="16"/>
        </w:rPr>
        <w:t>HelpAge</w:t>
      </w:r>
      <w:proofErr w:type="spellEnd"/>
      <w:r w:rsidR="00694670" w:rsidRPr="00694670">
        <w:rPr>
          <w:rFonts w:ascii="Verdana" w:hAnsi="Verdana"/>
          <w:sz w:val="16"/>
          <w:szCs w:val="16"/>
        </w:rPr>
        <w:t xml:space="preserve"> paper, 2014, unpublished</w:t>
      </w:r>
    </w:p>
    <w:p w:rsidR="00694670" w:rsidRPr="00694670" w:rsidRDefault="00AC77AB" w:rsidP="00694670">
      <w:pPr>
        <w:pStyle w:val="07Photocredits"/>
        <w:spacing w:after="62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13</w:t>
      </w:r>
      <w:r w:rsidR="00694670" w:rsidRPr="00694670">
        <w:rPr>
          <w:rFonts w:ascii="Verdana" w:hAnsi="Verdana"/>
          <w:b/>
          <w:bCs/>
          <w:sz w:val="16"/>
          <w:szCs w:val="16"/>
        </w:rPr>
        <w:t>.</w:t>
      </w:r>
      <w:r w:rsidR="00694670" w:rsidRPr="00694670">
        <w:rPr>
          <w:rFonts w:ascii="Verdana" w:hAnsi="Verdana"/>
          <w:sz w:val="16"/>
          <w:szCs w:val="16"/>
        </w:rPr>
        <w:t xml:space="preserve"> World Health Organization, </w:t>
      </w:r>
      <w:r w:rsidR="00694670" w:rsidRPr="00694670">
        <w:rPr>
          <w:rFonts w:ascii="Verdana" w:hAnsi="Verdana"/>
          <w:i/>
          <w:iCs/>
          <w:sz w:val="16"/>
          <w:szCs w:val="16"/>
        </w:rPr>
        <w:t>Global and regional estimates of violence against women: prevalence and health effects of intimate partner violence and non-partner sexual violence,</w:t>
      </w:r>
      <w:r w:rsidR="00694670" w:rsidRPr="00694670">
        <w:rPr>
          <w:rFonts w:ascii="Verdana" w:hAnsi="Verdana"/>
          <w:sz w:val="16"/>
          <w:szCs w:val="16"/>
        </w:rPr>
        <w:t xml:space="preserve"> WHO, 2013, </w:t>
      </w:r>
      <w:hyperlink r:id="rId15" w:history="1">
        <w:r w:rsidR="00694670" w:rsidRPr="00570500">
          <w:rPr>
            <w:rStyle w:val="Hyperlink"/>
            <w:rFonts w:ascii="Verdana" w:hAnsi="Verdana"/>
            <w:sz w:val="16"/>
            <w:szCs w:val="16"/>
          </w:rPr>
          <w:t>http://apps.who.int/iris/bitstream/10665/85239/1/9789241564625_eng.pdf</w:t>
        </w:r>
      </w:hyperlink>
      <w:r w:rsidR="00694670">
        <w:rPr>
          <w:rFonts w:ascii="Verdana" w:hAnsi="Verdana"/>
          <w:sz w:val="16"/>
          <w:szCs w:val="16"/>
        </w:rPr>
        <w:t xml:space="preserve"> </w:t>
      </w:r>
      <w:r w:rsidR="00694670" w:rsidRPr="00694670">
        <w:rPr>
          <w:rFonts w:ascii="Verdana" w:hAnsi="Verdana"/>
          <w:sz w:val="16"/>
          <w:szCs w:val="16"/>
        </w:rPr>
        <w:t>(22 July 2015)</w:t>
      </w:r>
    </w:p>
    <w:p w:rsidR="00694670" w:rsidRPr="00694670" w:rsidRDefault="00AC77AB" w:rsidP="00694670">
      <w:pPr>
        <w:pStyle w:val="07Photocredits"/>
        <w:spacing w:after="62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14</w:t>
      </w:r>
      <w:r w:rsidR="00694670" w:rsidRPr="00694670">
        <w:rPr>
          <w:rFonts w:ascii="Verdana" w:hAnsi="Verdana"/>
          <w:b/>
          <w:bCs/>
          <w:sz w:val="16"/>
          <w:szCs w:val="16"/>
        </w:rPr>
        <w:t>.</w:t>
      </w:r>
      <w:r w:rsidR="00694670" w:rsidRPr="00694670">
        <w:rPr>
          <w:rFonts w:ascii="Verdana" w:hAnsi="Verdana"/>
          <w:sz w:val="16"/>
          <w:szCs w:val="16"/>
        </w:rPr>
        <w:t xml:space="preserve"> Calculation based on UNDESA Population Division, </w:t>
      </w:r>
      <w:r w:rsidR="00694670" w:rsidRPr="00694670">
        <w:rPr>
          <w:rFonts w:ascii="Verdana" w:hAnsi="Verdana"/>
          <w:i/>
          <w:iCs/>
          <w:sz w:val="16"/>
          <w:szCs w:val="16"/>
        </w:rPr>
        <w:t>World population prospects: the 2015 revision,</w:t>
      </w:r>
      <w:r w:rsidR="00694670" w:rsidRPr="00694670">
        <w:rPr>
          <w:rFonts w:ascii="Verdana" w:hAnsi="Verdana"/>
          <w:sz w:val="16"/>
          <w:szCs w:val="16"/>
        </w:rPr>
        <w:t xml:space="preserve"> DVD Edition, 2015</w:t>
      </w:r>
    </w:p>
    <w:p w:rsidR="00694670" w:rsidRPr="00694670" w:rsidRDefault="00217EAC" w:rsidP="00694670">
      <w:pPr>
        <w:pStyle w:val="07Photocredits"/>
        <w:spacing w:after="62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15</w:t>
      </w:r>
      <w:r w:rsidR="00694670" w:rsidRPr="00694670">
        <w:rPr>
          <w:rFonts w:ascii="Verdana" w:hAnsi="Verdana"/>
          <w:b/>
          <w:bCs/>
          <w:sz w:val="16"/>
          <w:szCs w:val="16"/>
        </w:rPr>
        <w:t>.</w:t>
      </w:r>
      <w:r w:rsidR="00694670" w:rsidRPr="00694670">
        <w:rPr>
          <w:rFonts w:ascii="Verdana" w:hAnsi="Verdana"/>
          <w:sz w:val="16"/>
          <w:szCs w:val="16"/>
        </w:rPr>
        <w:t xml:space="preserve"> </w:t>
      </w:r>
      <w:proofErr w:type="spellStart"/>
      <w:r w:rsidR="00694670" w:rsidRPr="00694670">
        <w:rPr>
          <w:rFonts w:ascii="Verdana" w:hAnsi="Verdana"/>
          <w:sz w:val="16"/>
          <w:szCs w:val="16"/>
        </w:rPr>
        <w:t>HelpAge</w:t>
      </w:r>
      <w:proofErr w:type="spellEnd"/>
      <w:r w:rsidR="00694670" w:rsidRPr="00694670">
        <w:rPr>
          <w:rFonts w:ascii="Verdana" w:hAnsi="Verdana"/>
          <w:sz w:val="16"/>
          <w:szCs w:val="16"/>
        </w:rPr>
        <w:t xml:space="preserve"> International, </w:t>
      </w:r>
      <w:r w:rsidR="00694670" w:rsidRPr="00694670">
        <w:rPr>
          <w:rFonts w:ascii="Verdana" w:hAnsi="Verdana"/>
          <w:i/>
          <w:iCs/>
          <w:sz w:val="16"/>
          <w:szCs w:val="16"/>
        </w:rPr>
        <w:t>Pension coverage in China and the expansion of the New Rural Social Pension,</w:t>
      </w:r>
      <w:r w:rsidR="00694670" w:rsidRPr="00694670">
        <w:rPr>
          <w:rFonts w:ascii="Verdana" w:hAnsi="Verdana"/>
          <w:sz w:val="16"/>
          <w:szCs w:val="16"/>
        </w:rPr>
        <w:t xml:space="preserve"> Pension Watch Briefing no. 11, </w:t>
      </w:r>
      <w:proofErr w:type="spellStart"/>
      <w:r w:rsidR="00694670" w:rsidRPr="00694670">
        <w:rPr>
          <w:rFonts w:ascii="Verdana" w:hAnsi="Verdana"/>
          <w:sz w:val="16"/>
          <w:szCs w:val="16"/>
        </w:rPr>
        <w:t>HelpAge</w:t>
      </w:r>
      <w:proofErr w:type="spellEnd"/>
      <w:r w:rsidR="00694670" w:rsidRPr="00694670">
        <w:rPr>
          <w:rFonts w:ascii="Verdana" w:hAnsi="Verdana"/>
          <w:sz w:val="16"/>
          <w:szCs w:val="16"/>
        </w:rPr>
        <w:t xml:space="preserve">, London, 2013, </w:t>
      </w:r>
      <w:hyperlink r:id="rId16" w:history="1">
        <w:r w:rsidR="00694670" w:rsidRPr="00570500">
          <w:rPr>
            <w:rStyle w:val="Hyperlink"/>
            <w:rFonts w:ascii="Verdana" w:hAnsi="Verdana"/>
            <w:sz w:val="16"/>
            <w:szCs w:val="16"/>
          </w:rPr>
          <w:t>www.pension-watch.net</w:t>
        </w:r>
      </w:hyperlink>
      <w:r w:rsidR="00694670">
        <w:rPr>
          <w:rFonts w:ascii="Verdana" w:hAnsi="Verdana"/>
          <w:sz w:val="16"/>
          <w:szCs w:val="16"/>
        </w:rPr>
        <w:t xml:space="preserve"> </w:t>
      </w:r>
    </w:p>
    <w:p w:rsidR="00694670" w:rsidRPr="00694670" w:rsidRDefault="00217EAC" w:rsidP="00694670">
      <w:pPr>
        <w:pStyle w:val="07Photocredits"/>
        <w:spacing w:after="62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16</w:t>
      </w:r>
      <w:r w:rsidR="00694670" w:rsidRPr="00694670">
        <w:rPr>
          <w:rFonts w:ascii="Verdana" w:hAnsi="Verdana"/>
          <w:b/>
          <w:bCs/>
          <w:sz w:val="16"/>
          <w:szCs w:val="16"/>
        </w:rPr>
        <w:t>.</w:t>
      </w:r>
      <w:r w:rsidR="00694670" w:rsidRPr="00694670">
        <w:rPr>
          <w:rFonts w:ascii="Verdana" w:hAnsi="Verdana"/>
          <w:sz w:val="16"/>
          <w:szCs w:val="16"/>
        </w:rPr>
        <w:t xml:space="preserve"> Du Peng, China’s amended law and what it means for older people, 10 January 2013, </w:t>
      </w:r>
      <w:r w:rsidR="00694670" w:rsidRPr="00694670">
        <w:rPr>
          <w:rFonts w:ascii="Verdana" w:hAnsi="Verdana"/>
          <w:sz w:val="16"/>
          <w:szCs w:val="16"/>
        </w:rPr>
        <w:br/>
      </w:r>
      <w:hyperlink r:id="rId17" w:history="1">
        <w:r w:rsidR="00694670" w:rsidRPr="00570500">
          <w:rPr>
            <w:rStyle w:val="Hyperlink"/>
            <w:rFonts w:ascii="Verdana" w:hAnsi="Verdana"/>
            <w:sz w:val="16"/>
            <w:szCs w:val="16"/>
          </w:rPr>
          <w:t>www.helpage.org/blogs/du-peng-18606/chinas-amended-law-and-what-it-means-for-older-people-510/</w:t>
        </w:r>
      </w:hyperlink>
      <w:r w:rsidR="00694670">
        <w:rPr>
          <w:rFonts w:ascii="Verdana" w:hAnsi="Verdana"/>
          <w:sz w:val="16"/>
          <w:szCs w:val="16"/>
        </w:rPr>
        <w:t xml:space="preserve"> </w:t>
      </w:r>
    </w:p>
    <w:p w:rsidR="00694670" w:rsidRPr="00694670" w:rsidRDefault="00217EAC" w:rsidP="00694670">
      <w:pPr>
        <w:pStyle w:val="07Photocredits"/>
        <w:spacing w:after="62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17</w:t>
      </w:r>
      <w:r w:rsidR="00694670" w:rsidRPr="00694670">
        <w:rPr>
          <w:rFonts w:ascii="Verdana" w:hAnsi="Verdana"/>
          <w:b/>
          <w:bCs/>
          <w:sz w:val="16"/>
          <w:szCs w:val="16"/>
        </w:rPr>
        <w:t>.</w:t>
      </w:r>
      <w:r w:rsidR="00694670" w:rsidRPr="00694670">
        <w:rPr>
          <w:rFonts w:ascii="Verdana" w:hAnsi="Verdana"/>
          <w:sz w:val="16"/>
          <w:szCs w:val="16"/>
        </w:rPr>
        <w:t xml:space="preserve"> </w:t>
      </w:r>
      <w:proofErr w:type="spellStart"/>
      <w:r w:rsidR="00694670" w:rsidRPr="00694670">
        <w:rPr>
          <w:rFonts w:ascii="Verdana" w:hAnsi="Verdana"/>
          <w:sz w:val="16"/>
          <w:szCs w:val="16"/>
        </w:rPr>
        <w:t>HelpAge</w:t>
      </w:r>
      <w:proofErr w:type="spellEnd"/>
      <w:r w:rsidR="00694670" w:rsidRPr="00694670">
        <w:rPr>
          <w:rFonts w:ascii="Verdana" w:hAnsi="Verdana"/>
          <w:sz w:val="16"/>
          <w:szCs w:val="16"/>
        </w:rPr>
        <w:t xml:space="preserve"> India, </w:t>
      </w:r>
      <w:r w:rsidR="00694670" w:rsidRPr="00694670">
        <w:rPr>
          <w:rFonts w:ascii="Verdana" w:hAnsi="Verdana"/>
          <w:i/>
          <w:iCs/>
          <w:sz w:val="16"/>
          <w:szCs w:val="16"/>
        </w:rPr>
        <w:t>State of Elderly in India,</w:t>
      </w:r>
      <w:r w:rsidR="00694670" w:rsidRPr="00694670">
        <w:rPr>
          <w:rFonts w:ascii="Verdana" w:hAnsi="Verdana"/>
          <w:sz w:val="16"/>
          <w:szCs w:val="16"/>
        </w:rPr>
        <w:t xml:space="preserve"> India, 2014, p.74</w:t>
      </w:r>
    </w:p>
    <w:p w:rsidR="00694670" w:rsidRPr="00694670" w:rsidRDefault="00217EAC" w:rsidP="00694670">
      <w:pPr>
        <w:pStyle w:val="07Photocredits"/>
        <w:spacing w:after="62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18</w:t>
      </w:r>
      <w:r w:rsidR="00694670" w:rsidRPr="00694670">
        <w:rPr>
          <w:rFonts w:ascii="Verdana" w:hAnsi="Verdana"/>
          <w:b/>
          <w:bCs/>
          <w:sz w:val="16"/>
          <w:szCs w:val="16"/>
        </w:rPr>
        <w:t>.</w:t>
      </w:r>
      <w:r w:rsidR="00694670" w:rsidRPr="00694670">
        <w:rPr>
          <w:rFonts w:ascii="Verdana" w:hAnsi="Verdana"/>
          <w:sz w:val="16"/>
          <w:szCs w:val="16"/>
        </w:rPr>
        <w:t xml:space="preserve"> </w:t>
      </w:r>
      <w:proofErr w:type="spellStart"/>
      <w:r w:rsidR="00694670" w:rsidRPr="00694670">
        <w:rPr>
          <w:rFonts w:ascii="Verdana" w:hAnsi="Verdana"/>
          <w:sz w:val="16"/>
          <w:szCs w:val="16"/>
        </w:rPr>
        <w:t>Yulia</w:t>
      </w:r>
      <w:proofErr w:type="spellEnd"/>
      <w:r w:rsidR="00694670" w:rsidRPr="00694670">
        <w:rPr>
          <w:rFonts w:ascii="Verdana" w:hAnsi="Verdana"/>
          <w:sz w:val="16"/>
          <w:szCs w:val="16"/>
        </w:rPr>
        <w:t xml:space="preserve"> </w:t>
      </w:r>
      <w:proofErr w:type="spellStart"/>
      <w:r w:rsidR="00694670" w:rsidRPr="00694670">
        <w:rPr>
          <w:rFonts w:ascii="Verdana" w:hAnsi="Verdana"/>
          <w:sz w:val="16"/>
          <w:szCs w:val="16"/>
        </w:rPr>
        <w:t>Vyatkina</w:t>
      </w:r>
      <w:proofErr w:type="spellEnd"/>
      <w:r w:rsidR="00694670" w:rsidRPr="00694670">
        <w:rPr>
          <w:rFonts w:ascii="Verdana" w:hAnsi="Verdana"/>
          <w:sz w:val="16"/>
          <w:szCs w:val="16"/>
        </w:rPr>
        <w:t xml:space="preserve">, “Ministry of labour presents a national plan on ageing for public discussion”, 10 June 2015, </w:t>
      </w:r>
      <w:hyperlink r:id="rId18" w:history="1">
        <w:r w:rsidR="00694670" w:rsidRPr="00570500">
          <w:rPr>
            <w:rStyle w:val="Hyperlink"/>
            <w:rFonts w:ascii="Verdana" w:hAnsi="Verdana"/>
            <w:sz w:val="16"/>
            <w:szCs w:val="16"/>
          </w:rPr>
          <w:t>www.asi.org.ru/news/mintrud-vynes-na-obshhestvennoe-obsuzhdenie-natsionalnuyu-strategiyu-dejstvij-v-interesah-pozhilyh-lyudej/</w:t>
        </w:r>
      </w:hyperlink>
      <w:r w:rsidR="00694670">
        <w:rPr>
          <w:rFonts w:ascii="Verdana" w:hAnsi="Verdana"/>
          <w:sz w:val="16"/>
          <w:szCs w:val="16"/>
        </w:rPr>
        <w:t xml:space="preserve"> </w:t>
      </w:r>
      <w:r w:rsidR="00694670" w:rsidRPr="00694670">
        <w:rPr>
          <w:rFonts w:ascii="Verdana" w:hAnsi="Verdana"/>
          <w:sz w:val="16"/>
          <w:szCs w:val="16"/>
        </w:rPr>
        <w:t>(27 July 2015)</w:t>
      </w:r>
    </w:p>
    <w:p w:rsidR="00694670" w:rsidRPr="00694670" w:rsidRDefault="00217EAC" w:rsidP="00694670">
      <w:pPr>
        <w:pStyle w:val="07Photocredits"/>
        <w:spacing w:after="62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19</w:t>
      </w:r>
      <w:r w:rsidR="00694670" w:rsidRPr="00694670">
        <w:rPr>
          <w:rFonts w:ascii="Verdana" w:hAnsi="Verdana"/>
          <w:b/>
          <w:bCs/>
          <w:sz w:val="16"/>
          <w:szCs w:val="16"/>
        </w:rPr>
        <w:t>.</w:t>
      </w:r>
      <w:r w:rsidR="00694670" w:rsidRPr="00694670">
        <w:rPr>
          <w:rFonts w:ascii="Verdana" w:hAnsi="Verdana"/>
          <w:sz w:val="16"/>
          <w:szCs w:val="16"/>
        </w:rPr>
        <w:t xml:space="preserve"> </w:t>
      </w:r>
      <w:proofErr w:type="spellStart"/>
      <w:r w:rsidR="00694670" w:rsidRPr="00694670">
        <w:rPr>
          <w:rFonts w:ascii="Verdana" w:hAnsi="Verdana"/>
          <w:sz w:val="16"/>
          <w:szCs w:val="16"/>
        </w:rPr>
        <w:t>HelpAge</w:t>
      </w:r>
      <w:proofErr w:type="spellEnd"/>
      <w:r w:rsidR="00694670" w:rsidRPr="00694670">
        <w:rPr>
          <w:rFonts w:ascii="Verdana" w:hAnsi="Verdana"/>
          <w:sz w:val="16"/>
          <w:szCs w:val="16"/>
        </w:rPr>
        <w:t xml:space="preserve"> International, </w:t>
      </w:r>
      <w:r w:rsidR="00694670" w:rsidRPr="00694670">
        <w:rPr>
          <w:rFonts w:ascii="Verdana" w:hAnsi="Verdana"/>
          <w:i/>
          <w:iCs/>
          <w:sz w:val="16"/>
          <w:szCs w:val="16"/>
        </w:rPr>
        <w:t>Social pensions database – 25th March 2015 edition,</w:t>
      </w:r>
      <w:r w:rsidR="00694670" w:rsidRPr="00694670">
        <w:rPr>
          <w:rFonts w:ascii="Verdana" w:hAnsi="Verdana"/>
          <w:sz w:val="16"/>
          <w:szCs w:val="16"/>
        </w:rPr>
        <w:t xml:space="preserve"> </w:t>
      </w:r>
      <w:hyperlink r:id="rId19" w:history="1">
        <w:r w:rsidR="00694670" w:rsidRPr="00570500">
          <w:rPr>
            <w:rStyle w:val="Hyperlink"/>
            <w:rFonts w:ascii="Verdana" w:hAnsi="Verdana"/>
            <w:sz w:val="16"/>
            <w:szCs w:val="16"/>
          </w:rPr>
          <w:t>www.pension-watch.net/about-social-pensions/about-social-pensions/social-pensions-database/</w:t>
        </w:r>
      </w:hyperlink>
      <w:r w:rsidR="00694670">
        <w:rPr>
          <w:rFonts w:ascii="Verdana" w:hAnsi="Verdana"/>
          <w:sz w:val="16"/>
          <w:szCs w:val="16"/>
        </w:rPr>
        <w:t xml:space="preserve"> </w:t>
      </w:r>
      <w:r w:rsidR="00694670" w:rsidRPr="00694670">
        <w:rPr>
          <w:rFonts w:ascii="Verdana" w:hAnsi="Verdana"/>
          <w:sz w:val="16"/>
          <w:szCs w:val="16"/>
        </w:rPr>
        <w:t>(4 August 2015)</w:t>
      </w:r>
    </w:p>
    <w:p w:rsidR="00694670" w:rsidRPr="00694670" w:rsidRDefault="00217EAC" w:rsidP="00694670">
      <w:pPr>
        <w:pStyle w:val="07Photocredits"/>
        <w:spacing w:after="62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20</w:t>
      </w:r>
      <w:r w:rsidR="00694670" w:rsidRPr="00694670">
        <w:rPr>
          <w:rFonts w:ascii="Verdana" w:hAnsi="Verdana"/>
          <w:b/>
          <w:bCs/>
          <w:sz w:val="16"/>
          <w:szCs w:val="16"/>
        </w:rPr>
        <w:t>.</w:t>
      </w:r>
      <w:r w:rsidR="00694670" w:rsidRPr="00694670">
        <w:rPr>
          <w:rFonts w:ascii="Verdana" w:hAnsi="Verdana"/>
          <w:sz w:val="16"/>
          <w:szCs w:val="16"/>
        </w:rPr>
        <w:t xml:space="preserve"> </w:t>
      </w:r>
      <w:proofErr w:type="spellStart"/>
      <w:r w:rsidR="00694670" w:rsidRPr="00694670">
        <w:rPr>
          <w:rFonts w:ascii="Verdana" w:hAnsi="Verdana"/>
          <w:sz w:val="16"/>
          <w:szCs w:val="16"/>
        </w:rPr>
        <w:t>Veras</w:t>
      </w:r>
      <w:proofErr w:type="spellEnd"/>
      <w:r w:rsidR="00694670" w:rsidRPr="00694670">
        <w:rPr>
          <w:rFonts w:ascii="Verdana" w:hAnsi="Verdana"/>
          <w:sz w:val="16"/>
          <w:szCs w:val="16"/>
        </w:rPr>
        <w:t xml:space="preserve"> </w:t>
      </w:r>
      <w:proofErr w:type="spellStart"/>
      <w:r w:rsidR="00694670" w:rsidRPr="00694670">
        <w:rPr>
          <w:rFonts w:ascii="Verdana" w:hAnsi="Verdana"/>
          <w:sz w:val="16"/>
          <w:szCs w:val="16"/>
        </w:rPr>
        <w:t>Soares</w:t>
      </w:r>
      <w:proofErr w:type="spellEnd"/>
      <w:r w:rsidR="00694670" w:rsidRPr="00694670">
        <w:rPr>
          <w:rFonts w:ascii="Verdana" w:hAnsi="Verdana"/>
          <w:sz w:val="16"/>
          <w:szCs w:val="16"/>
        </w:rPr>
        <w:t xml:space="preserve"> F et al, </w:t>
      </w:r>
      <w:r w:rsidR="00694670" w:rsidRPr="00694670">
        <w:rPr>
          <w:rFonts w:ascii="Verdana" w:hAnsi="Verdana"/>
          <w:i/>
          <w:iCs/>
          <w:sz w:val="16"/>
          <w:szCs w:val="16"/>
        </w:rPr>
        <w:t>Cash transfer programmes in Brazil: impacts on inequality and poverty.</w:t>
      </w:r>
      <w:r w:rsidR="00694670" w:rsidRPr="00694670">
        <w:rPr>
          <w:rFonts w:ascii="Verdana" w:hAnsi="Verdana"/>
          <w:sz w:val="16"/>
          <w:szCs w:val="16"/>
        </w:rPr>
        <w:t xml:space="preserve"> International Poverty Centre Working paper 21. Brasilia, United Nations Development Programme, 2006, </w:t>
      </w:r>
      <w:hyperlink r:id="rId20" w:history="1">
        <w:r w:rsidR="00694670" w:rsidRPr="00570500">
          <w:rPr>
            <w:rStyle w:val="Hyperlink"/>
            <w:rFonts w:ascii="Verdana" w:hAnsi="Verdana"/>
            <w:sz w:val="16"/>
            <w:szCs w:val="16"/>
          </w:rPr>
          <w:t>www.ipc-undp.org/pub/IPCWorkingPaper21.pdf</w:t>
        </w:r>
      </w:hyperlink>
      <w:r w:rsidR="00694670">
        <w:rPr>
          <w:rFonts w:ascii="Verdana" w:hAnsi="Verdana"/>
          <w:sz w:val="16"/>
          <w:szCs w:val="16"/>
        </w:rPr>
        <w:t xml:space="preserve"> </w:t>
      </w:r>
      <w:r w:rsidR="00694670" w:rsidRPr="00694670">
        <w:rPr>
          <w:rFonts w:ascii="Verdana" w:hAnsi="Verdana"/>
          <w:sz w:val="16"/>
          <w:szCs w:val="16"/>
        </w:rPr>
        <w:t>(4 August 2015)</w:t>
      </w:r>
    </w:p>
    <w:p w:rsidR="00694670" w:rsidRPr="00694670" w:rsidRDefault="00217EAC" w:rsidP="00694670">
      <w:pPr>
        <w:pStyle w:val="07Photocredits"/>
        <w:spacing w:after="62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21</w:t>
      </w:r>
      <w:r w:rsidR="00694670" w:rsidRPr="00694670">
        <w:rPr>
          <w:rFonts w:ascii="Verdana" w:hAnsi="Verdana"/>
          <w:b/>
          <w:bCs/>
          <w:sz w:val="16"/>
          <w:szCs w:val="16"/>
        </w:rPr>
        <w:t>.</w:t>
      </w:r>
      <w:r w:rsidR="00694670" w:rsidRPr="00694670">
        <w:rPr>
          <w:rFonts w:ascii="Verdana" w:hAnsi="Verdana"/>
          <w:sz w:val="16"/>
          <w:szCs w:val="16"/>
        </w:rPr>
        <w:t xml:space="preserve"> Comparison based on wave 1 of the SAGE datasets for India and China 2007-2010, </w:t>
      </w:r>
      <w:r w:rsidR="00694670" w:rsidRPr="00694670">
        <w:rPr>
          <w:rFonts w:ascii="Verdana" w:hAnsi="Verdana"/>
          <w:sz w:val="16"/>
          <w:szCs w:val="16"/>
        </w:rPr>
        <w:br/>
      </w:r>
      <w:hyperlink r:id="rId21" w:history="1">
        <w:r w:rsidR="00694670" w:rsidRPr="00570500">
          <w:rPr>
            <w:rStyle w:val="Hyperlink"/>
            <w:rFonts w:ascii="Verdana" w:hAnsi="Verdana"/>
            <w:sz w:val="16"/>
            <w:szCs w:val="16"/>
          </w:rPr>
          <w:t>www.icpsr.umich.edu/icpsrweb/NACDA/studies/31381/version/1</w:t>
        </w:r>
      </w:hyperlink>
      <w:r w:rsidR="00694670">
        <w:rPr>
          <w:rFonts w:ascii="Verdana" w:hAnsi="Verdana"/>
          <w:sz w:val="16"/>
          <w:szCs w:val="16"/>
        </w:rPr>
        <w:t xml:space="preserve"> </w:t>
      </w:r>
    </w:p>
    <w:p w:rsidR="00694670" w:rsidRPr="00694670" w:rsidRDefault="00217EAC" w:rsidP="00694670">
      <w:pPr>
        <w:pStyle w:val="07Photocredits"/>
        <w:spacing w:after="62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22</w:t>
      </w:r>
      <w:r w:rsidR="00694670" w:rsidRPr="00694670">
        <w:rPr>
          <w:rFonts w:ascii="Verdana" w:hAnsi="Verdana"/>
          <w:b/>
          <w:bCs/>
          <w:sz w:val="16"/>
          <w:szCs w:val="16"/>
        </w:rPr>
        <w:t>.</w:t>
      </w:r>
      <w:r w:rsidR="00694670" w:rsidRPr="00694670">
        <w:rPr>
          <w:rFonts w:ascii="Verdana" w:hAnsi="Verdana"/>
          <w:sz w:val="16"/>
          <w:szCs w:val="16"/>
        </w:rPr>
        <w:t xml:space="preserve"> World Bank Group, </w:t>
      </w:r>
      <w:r w:rsidR="00694670" w:rsidRPr="00694670">
        <w:rPr>
          <w:rFonts w:ascii="Verdana" w:hAnsi="Verdana"/>
          <w:i/>
          <w:iCs/>
          <w:sz w:val="16"/>
          <w:szCs w:val="16"/>
        </w:rPr>
        <w:t xml:space="preserve">What’s next in aging Europe: Aging: Aging with growth in central Europe and the Baltics, </w:t>
      </w:r>
      <w:r w:rsidR="00694670" w:rsidRPr="00694670">
        <w:rPr>
          <w:rFonts w:ascii="Verdana" w:hAnsi="Verdana"/>
          <w:sz w:val="16"/>
          <w:szCs w:val="16"/>
        </w:rPr>
        <w:t xml:space="preserve">Conference Edition 3, 2015, pp27-29, </w:t>
      </w:r>
      <w:hyperlink r:id="rId22" w:history="1">
        <w:r w:rsidR="00694670" w:rsidRPr="00570500">
          <w:rPr>
            <w:rStyle w:val="Hyperlink"/>
            <w:rFonts w:ascii="Verdana" w:hAnsi="Verdana"/>
            <w:sz w:val="16"/>
            <w:szCs w:val="16"/>
          </w:rPr>
          <w:t>www.worldbank.org/content/dam/Worldbank/Publications/ECA/aging%20europe.pdf</w:t>
        </w:r>
      </w:hyperlink>
      <w:r w:rsidR="00694670">
        <w:rPr>
          <w:rFonts w:ascii="Verdana" w:hAnsi="Verdana"/>
          <w:sz w:val="16"/>
          <w:szCs w:val="16"/>
        </w:rPr>
        <w:t xml:space="preserve"> </w:t>
      </w:r>
      <w:r w:rsidR="00694670" w:rsidRPr="00694670">
        <w:rPr>
          <w:rFonts w:ascii="Verdana" w:hAnsi="Verdana"/>
          <w:sz w:val="16"/>
          <w:szCs w:val="16"/>
        </w:rPr>
        <w:t xml:space="preserve"> </w:t>
      </w:r>
    </w:p>
    <w:p w:rsidR="00694670" w:rsidRPr="00694670" w:rsidRDefault="00217EAC" w:rsidP="00694670">
      <w:pPr>
        <w:pStyle w:val="07Photocredits"/>
        <w:spacing w:after="62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23</w:t>
      </w:r>
      <w:r w:rsidR="00694670" w:rsidRPr="00694670">
        <w:rPr>
          <w:rFonts w:ascii="Verdana" w:hAnsi="Verdana"/>
          <w:b/>
          <w:bCs/>
          <w:sz w:val="16"/>
          <w:szCs w:val="16"/>
        </w:rPr>
        <w:t>.</w:t>
      </w:r>
      <w:r w:rsidR="00694670" w:rsidRPr="00694670">
        <w:rPr>
          <w:rFonts w:ascii="Verdana" w:hAnsi="Verdana"/>
          <w:sz w:val="16"/>
          <w:szCs w:val="16"/>
        </w:rPr>
        <w:t xml:space="preserve"> </w:t>
      </w:r>
      <w:hyperlink r:id="rId23" w:history="1">
        <w:r w:rsidR="00694670" w:rsidRPr="00570500">
          <w:rPr>
            <w:rStyle w:val="Hyperlink"/>
            <w:rFonts w:ascii="Verdana" w:hAnsi="Verdana"/>
            <w:sz w:val="16"/>
            <w:szCs w:val="16"/>
          </w:rPr>
          <w:t>http://economico.sapo.pt/noticias/mais-de-41-mil-idosos-deixaram-de-comprar-passe-da-carris_149755.html</w:t>
        </w:r>
      </w:hyperlink>
      <w:r w:rsidR="00694670">
        <w:rPr>
          <w:rFonts w:ascii="Verdana" w:hAnsi="Verdana"/>
          <w:sz w:val="16"/>
          <w:szCs w:val="16"/>
        </w:rPr>
        <w:t xml:space="preserve"> </w:t>
      </w:r>
      <w:r w:rsidR="00694670" w:rsidRPr="00694670">
        <w:rPr>
          <w:rFonts w:ascii="Verdana" w:hAnsi="Verdana"/>
          <w:sz w:val="16"/>
          <w:szCs w:val="16"/>
        </w:rPr>
        <w:t>(27 July 2015)</w:t>
      </w:r>
    </w:p>
    <w:p w:rsidR="00694670" w:rsidRPr="00694670" w:rsidRDefault="00217EAC" w:rsidP="00694670">
      <w:pPr>
        <w:pStyle w:val="07Photocredits"/>
        <w:spacing w:after="62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24</w:t>
      </w:r>
      <w:r w:rsidR="00694670" w:rsidRPr="00694670">
        <w:rPr>
          <w:rFonts w:ascii="Verdana" w:hAnsi="Verdana"/>
          <w:b/>
          <w:bCs/>
          <w:sz w:val="16"/>
          <w:szCs w:val="16"/>
        </w:rPr>
        <w:t>.</w:t>
      </w:r>
      <w:r w:rsidR="00694670" w:rsidRPr="00694670">
        <w:rPr>
          <w:rFonts w:ascii="Verdana" w:hAnsi="Verdana"/>
          <w:sz w:val="16"/>
          <w:szCs w:val="16"/>
        </w:rPr>
        <w:t xml:space="preserve"> Fahey T et al, A social profile of older people in Ireland, Dublin, Office for Social Inclusion, 2007, </w:t>
      </w:r>
      <w:hyperlink r:id="rId24" w:history="1">
        <w:r w:rsidR="00694670" w:rsidRPr="00570500">
          <w:rPr>
            <w:rStyle w:val="Hyperlink"/>
            <w:rFonts w:ascii="Verdana" w:hAnsi="Verdana"/>
            <w:sz w:val="16"/>
            <w:szCs w:val="16"/>
          </w:rPr>
          <w:t>www.socialinclusion.ie/documents/Older_lowres2.pdf</w:t>
        </w:r>
      </w:hyperlink>
      <w:r w:rsidR="00694670">
        <w:rPr>
          <w:rFonts w:ascii="Verdana" w:hAnsi="Verdana"/>
          <w:sz w:val="16"/>
          <w:szCs w:val="16"/>
        </w:rPr>
        <w:t xml:space="preserve"> </w:t>
      </w:r>
      <w:r w:rsidR="00694670" w:rsidRPr="00694670">
        <w:rPr>
          <w:rFonts w:ascii="Verdana" w:hAnsi="Verdana"/>
          <w:sz w:val="16"/>
          <w:szCs w:val="16"/>
        </w:rPr>
        <w:t xml:space="preserve">(27 July 2015); Age Action welcomes funding to help older patients trapped in hospitals, 3 April 2015, </w:t>
      </w:r>
      <w:hyperlink r:id="rId25" w:history="1">
        <w:r w:rsidR="00694670" w:rsidRPr="00570500">
          <w:rPr>
            <w:rStyle w:val="Hyperlink"/>
            <w:rFonts w:ascii="Verdana" w:hAnsi="Verdana"/>
            <w:sz w:val="16"/>
            <w:szCs w:val="16"/>
          </w:rPr>
          <w:t>www.ageaction.ie/age-action-welcomes-funding-help-older-patients-trapped-hospitals</w:t>
        </w:r>
      </w:hyperlink>
      <w:r w:rsidR="00694670">
        <w:rPr>
          <w:rFonts w:ascii="Verdana" w:hAnsi="Verdana"/>
          <w:sz w:val="16"/>
          <w:szCs w:val="16"/>
        </w:rPr>
        <w:t xml:space="preserve"> </w:t>
      </w:r>
      <w:r w:rsidR="00694670" w:rsidRPr="00694670">
        <w:rPr>
          <w:rFonts w:ascii="Verdana" w:hAnsi="Verdana"/>
          <w:sz w:val="16"/>
          <w:szCs w:val="16"/>
        </w:rPr>
        <w:t>(27 July 2015)</w:t>
      </w:r>
    </w:p>
    <w:p w:rsidR="00694670" w:rsidRPr="00694670" w:rsidRDefault="00217EAC" w:rsidP="00694670">
      <w:pPr>
        <w:pStyle w:val="07Photocredits"/>
        <w:spacing w:after="62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25</w:t>
      </w:r>
      <w:bookmarkStart w:id="0" w:name="_GoBack"/>
      <w:bookmarkEnd w:id="0"/>
      <w:r w:rsidR="00694670" w:rsidRPr="00694670">
        <w:rPr>
          <w:rFonts w:ascii="Verdana" w:hAnsi="Verdana"/>
          <w:b/>
          <w:bCs/>
          <w:sz w:val="16"/>
          <w:szCs w:val="16"/>
        </w:rPr>
        <w:t>.</w:t>
      </w:r>
      <w:r w:rsidR="00694670" w:rsidRPr="00694670">
        <w:rPr>
          <w:rFonts w:ascii="Verdana" w:hAnsi="Verdana"/>
          <w:sz w:val="16"/>
          <w:szCs w:val="16"/>
        </w:rPr>
        <w:t xml:space="preserve"> Wu K, </w:t>
      </w:r>
      <w:r w:rsidR="00694670" w:rsidRPr="00694670">
        <w:rPr>
          <w:rFonts w:ascii="Verdana" w:hAnsi="Verdana"/>
          <w:i/>
          <w:iCs/>
          <w:sz w:val="16"/>
          <w:szCs w:val="16"/>
        </w:rPr>
        <w:t>Income and poverty of older Americans 2011,</w:t>
      </w:r>
      <w:r w:rsidR="00694670" w:rsidRPr="00694670">
        <w:rPr>
          <w:rFonts w:ascii="Verdana" w:hAnsi="Verdana"/>
          <w:sz w:val="16"/>
          <w:szCs w:val="16"/>
        </w:rPr>
        <w:t xml:space="preserve"> AARP Factsheet, AARP Public Policy Institute, Washington, September 2013, </w:t>
      </w:r>
      <w:hyperlink r:id="rId26" w:history="1">
        <w:r w:rsidR="00694670" w:rsidRPr="00570500">
          <w:rPr>
            <w:rStyle w:val="Hyperlink"/>
            <w:rFonts w:ascii="Verdana" w:hAnsi="Verdana"/>
            <w:sz w:val="16"/>
            <w:szCs w:val="16"/>
          </w:rPr>
          <w:t>www.aarp.org/content/dam/aarp/research/public_policy_institute/econ_sec/2013/income-and-poverty-of-older-americans-AARP-ppi-econ-sec.pdf</w:t>
        </w:r>
      </w:hyperlink>
      <w:r w:rsidR="00694670">
        <w:rPr>
          <w:rFonts w:ascii="Verdana" w:hAnsi="Verdana"/>
          <w:sz w:val="16"/>
          <w:szCs w:val="16"/>
        </w:rPr>
        <w:t xml:space="preserve"> </w:t>
      </w:r>
    </w:p>
    <w:p w:rsidR="00694670" w:rsidRPr="00694670" w:rsidRDefault="00694670">
      <w:pPr>
        <w:rPr>
          <w:rFonts w:ascii="Verdana" w:hAnsi="Verdana"/>
          <w:sz w:val="16"/>
          <w:szCs w:val="16"/>
          <w:lang w:val="en-GB"/>
        </w:rPr>
      </w:pPr>
    </w:p>
    <w:sectPr w:rsidR="00694670" w:rsidRPr="00694670" w:rsidSect="0069467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xia">
    <w:altName w:val="Corbel"/>
    <w:panose1 w:val="02000503040000020003"/>
    <w:charset w:val="00"/>
    <w:family w:val="auto"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70"/>
    <w:rsid w:val="001554CD"/>
    <w:rsid w:val="00217EAC"/>
    <w:rsid w:val="002F5A01"/>
    <w:rsid w:val="00694670"/>
    <w:rsid w:val="0098513A"/>
    <w:rsid w:val="009B0F83"/>
    <w:rsid w:val="009D196F"/>
    <w:rsid w:val="00AC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7Photocredits">
    <w:name w:val="07 Photo credits"/>
    <w:basedOn w:val="Standard"/>
    <w:uiPriority w:val="99"/>
    <w:rsid w:val="00694670"/>
    <w:pPr>
      <w:suppressAutoHyphens/>
      <w:autoSpaceDE w:val="0"/>
      <w:autoSpaceDN w:val="0"/>
      <w:adjustRightInd w:val="0"/>
      <w:spacing w:after="57" w:line="150" w:lineRule="atLeast"/>
      <w:textAlignment w:val="center"/>
    </w:pPr>
    <w:rPr>
      <w:rFonts w:ascii="Lexia" w:hAnsi="Lexia" w:cs="Lexia"/>
      <w:color w:val="000000"/>
      <w:sz w:val="12"/>
      <w:szCs w:val="12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67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Absatz-Standardschriftart"/>
    <w:uiPriority w:val="99"/>
    <w:unhideWhenUsed/>
    <w:rsid w:val="006946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7Photocredits">
    <w:name w:val="07 Photo credits"/>
    <w:basedOn w:val="Standard"/>
    <w:uiPriority w:val="99"/>
    <w:rsid w:val="00694670"/>
    <w:pPr>
      <w:suppressAutoHyphens/>
      <w:autoSpaceDE w:val="0"/>
      <w:autoSpaceDN w:val="0"/>
      <w:adjustRightInd w:val="0"/>
      <w:spacing w:after="57" w:line="150" w:lineRule="atLeast"/>
      <w:textAlignment w:val="center"/>
    </w:pPr>
    <w:rPr>
      <w:rFonts w:ascii="Lexia" w:hAnsi="Lexia" w:cs="Lexia"/>
      <w:color w:val="000000"/>
      <w:sz w:val="12"/>
      <w:szCs w:val="12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67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Absatz-Standardschriftart"/>
    <w:uiPriority w:val="99"/>
    <w:unhideWhenUsed/>
    <w:rsid w:val="00694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yageing.eu/files/featured/Healthy%20and%20Active%20Ageing.pdf" TargetMode="External"/><Relationship Id="rId13" Type="http://schemas.openxmlformats.org/officeDocument/2006/relationships/hyperlink" Target="http://stats.oecd.org/" TargetMode="External"/><Relationship Id="rId18" Type="http://schemas.openxmlformats.org/officeDocument/2006/relationships/hyperlink" Target="http://www.asi.org.ru/news/mintrud-vynes-na-obshhestvennoe-obsuzhdenie-natsionalnuyu-strategiyu-dejstvij-v-interesah-pozhilyh-lyudej/" TargetMode="External"/><Relationship Id="rId26" Type="http://schemas.openxmlformats.org/officeDocument/2006/relationships/hyperlink" Target="http://www.aarp.org/content/dam/aarp/research/public_policy_institute/econ_sec/2013/income-and-poverty-of-older-americans-AARP-ppi-econ-sec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cpsr.umich.edu/icpsrweb/NACDA/studies/31381/version/1" TargetMode="External"/><Relationship Id="rId7" Type="http://schemas.openxmlformats.org/officeDocument/2006/relationships/hyperlink" Target="http://www.refworld.org/pdfid/4a03f56b2.pdf" TargetMode="External"/><Relationship Id="rId12" Type="http://schemas.openxmlformats.org/officeDocument/2006/relationships/hyperlink" Target="http://www.barrolee.com" TargetMode="External"/><Relationship Id="rId17" Type="http://schemas.openxmlformats.org/officeDocument/2006/relationships/hyperlink" Target="http://www.helpage.org/blogs/du-peng-18606/chinas-amended-law-and-what-it-means-for-older-people-510/" TargetMode="External"/><Relationship Id="rId25" Type="http://schemas.openxmlformats.org/officeDocument/2006/relationships/hyperlink" Target="http://www.ageaction.ie/age-action-welcomes-funding-help-older-patients-trapped-hospital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ension-watch.net" TargetMode="External"/><Relationship Id="rId20" Type="http://schemas.openxmlformats.org/officeDocument/2006/relationships/hyperlink" Target="http://www.ipc-undp.org/pub/IPCWorkingPaper21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.org/en/development/desa/policy/wess/wess_bg_papers/bp_wess2008_justino.pdf" TargetMode="External"/><Relationship Id="rId11" Type="http://schemas.openxmlformats.org/officeDocument/2006/relationships/hyperlink" Target="http://apps.who.int/gho/data/node.main.688?lang=en" TargetMode="External"/><Relationship Id="rId24" Type="http://schemas.openxmlformats.org/officeDocument/2006/relationships/hyperlink" Target="http://www.socialinclusion.ie/documents/Older_lowres2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apps.who.int/iris/bitstream/10665/85239/1/9789241564625_eng.pdf" TargetMode="External"/><Relationship Id="rId23" Type="http://schemas.openxmlformats.org/officeDocument/2006/relationships/hyperlink" Target="http://economico.sapo.pt/noticias/mais-de-41-mil-idosos-deixaram-de-comprar-passe-da-carris_149755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sa.un.org/unpd/popdev/AgingProfiles2013/default.aspx" TargetMode="External"/><Relationship Id="rId19" Type="http://schemas.openxmlformats.org/officeDocument/2006/relationships/hyperlink" Target="http://www.pension-watch.net/about-social-pensions/about-social-pensions/social-pensions-databa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who.int/gho/data/view.main.700?lang=en" TargetMode="External"/><Relationship Id="rId14" Type="http://schemas.openxmlformats.org/officeDocument/2006/relationships/hyperlink" Target="http://www.ilo.org" TargetMode="External"/><Relationship Id="rId22" Type="http://schemas.openxmlformats.org/officeDocument/2006/relationships/hyperlink" Target="http://www.worldbank.org/content/dam/Worldbank/Publications/ECA/aging%20europe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</dc:creator>
  <cp:lastModifiedBy>Dama</cp:lastModifiedBy>
  <cp:revision>6</cp:revision>
  <dcterms:created xsi:type="dcterms:W3CDTF">2015-09-03T06:52:00Z</dcterms:created>
  <dcterms:modified xsi:type="dcterms:W3CDTF">2015-09-03T17:27:00Z</dcterms:modified>
</cp:coreProperties>
</file>