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79" w:rsidRPr="00667CDC" w:rsidRDefault="000852DB" w:rsidP="00680179">
      <w:pPr>
        <w:pStyle w:val="Heading1"/>
        <w:tabs>
          <w:tab w:val="right" w:pos="9637"/>
        </w:tabs>
      </w:pPr>
      <w:r>
        <w:t>World Humanitarian Summit and global population ageing</w:t>
      </w:r>
    </w:p>
    <w:p w:rsidR="00680179" w:rsidRPr="00D746B7" w:rsidRDefault="00155D93" w:rsidP="00680179">
      <w:pPr>
        <w:sectPr w:rsidR="00680179" w:rsidRPr="00D746B7" w:rsidSect="00680179">
          <w:footerReference w:type="default" r:id="rId8"/>
          <w:headerReference w:type="first" r:id="rId9"/>
          <w:pgSz w:w="11906" w:h="16838" w:code="9"/>
          <w:pgMar w:top="1701" w:right="1418" w:bottom="1247" w:left="1418" w:header="567" w:footer="567" w:gutter="0"/>
          <w:cols w:space="708"/>
          <w:titlePg/>
          <w:docGrid w:linePitch="360"/>
        </w:sectPr>
      </w:pPr>
      <w:r>
        <w:rPr>
          <w:noProof/>
          <w:szCs w:val="20"/>
          <w:lang w:eastAsia="en-GB"/>
        </w:rPr>
        <mc:AlternateContent>
          <mc:Choice Requires="wps">
            <w:drawing>
              <wp:anchor distT="0" distB="0" distL="114300" distR="114300" simplePos="0" relativeHeight="251661824" behindDoc="0" locked="0" layoutInCell="1" allowOverlap="1">
                <wp:simplePos x="0" y="0"/>
                <wp:positionH relativeFrom="column">
                  <wp:posOffset>-224155</wp:posOffset>
                </wp:positionH>
                <wp:positionV relativeFrom="paragraph">
                  <wp:posOffset>6518910</wp:posOffset>
                </wp:positionV>
                <wp:extent cx="5962650" cy="1304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626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D93" w:rsidRDefault="00155D93" w:rsidP="00155D93">
                            <w:pPr>
                              <w:pStyle w:val="Heading3"/>
                              <w:rPr>
                                <w:rFonts w:cs="Times New Roman"/>
                                <w:bCs w:val="0"/>
                                <w:color w:val="AC1D27"/>
                                <w:kern w:val="26"/>
                                <w:szCs w:val="24"/>
                                <w:lang w:bidi="en-US"/>
                              </w:rPr>
                            </w:pPr>
                            <w:r w:rsidRPr="00BC4030">
                              <w:rPr>
                                <w:rFonts w:cs="Times New Roman"/>
                                <w:bCs w:val="0"/>
                                <w:color w:val="AC1D27"/>
                                <w:kern w:val="26"/>
                                <w:szCs w:val="24"/>
                                <w:lang w:bidi="en-US"/>
                              </w:rPr>
                              <w:t>The World Humanitarian Summit presents a vital opportunity to consider the implications of global population ageing and ensure that the particular concerns of older people are included in the outcome. This briefing recommends how to include older people in three of the Summits themes: Reducing vulnerability and managing risk, Humanitarian effectiveness, and Serving the needs of people in conflict.</w:t>
                            </w:r>
                          </w:p>
                          <w:p w:rsidR="00155D93" w:rsidRDefault="00155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5pt;margin-top:513.3pt;width:469.5pt;height:102.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ExhwIAAIsFAAAOAAAAZHJzL2Uyb0RvYy54bWysVEtPGzEQvlfqf7B8L5uEJC0RG5SCqCoh&#10;QIWKs+O1yaq2x7Wd7Ka/vjPezaOUC1Uvu+OZb96P84vWGrZRIdbgSj48GXCmnISqds8l//54/eET&#10;ZzEJVwkDTpV8qyK/mL9/d974mRrBCkylAkMjLs4aX/JVSn5WFFGulBXxBLxyKNQQrEj4DM9FFUSD&#10;1q0pRoPBtGggVD6AVDEi96oT8nm2r7WS6U7rqBIzJcfYUv6G/F3St5ifi9lzEH5Vyz4M8Q9RWFE7&#10;dLo3dSWSYOtQ/2XK1jJABJ1OJNgCtK6lyjlgNsPBi2weVsKrnAsWJ/p9meL/MytvN/eB1RX2jjMn&#10;LLboUbWJfYaWDak6jY8zBD14hKUW2YTs+RGZlHSrg6U/psNQjnXe7mtLxiQyJ2fT0XSCIomy4elg&#10;fDaakJ3ioO5DTF8UWEZEyQM2L9dUbG5i6qA7CHmLYOrqujYmP2hg1KUJbCOw1SblINH4HyjjWFPy&#10;6SnGQUoOSL2zbBxxVB6Z3h2l3qWYqbQ1ijDGfVMaS5YzfcW3kFK5vf+MJpRGV29R7PGHqN6i3OWB&#10;GtkzuLRXtrWDkLPPO3YoWfVjVzLd4bE3R3kTmdpl27d+CdUWJyJAt1HRy+sau3YjYroXAVcIO41n&#10;Id3hRxvAqkNPcbaC8Os1PuFxslHKWYMrWfL4cy2C4sx8dTjzZ8PxmHY4P8aTjyN8hGPJ8lji1vYS&#10;cBRwrjG6TBI+mR2pA9gnvB4L8ooi4ST6LnnakZepOxR4faRaLDIIt9aLdOMevCTTVF6aycf2SQTf&#10;D27Cmb+F3fKK2Yv57bCk6WCxTqDrPNxU4K6qfeFx4/N69NeJTsrxO6MON3T+GwAA//8DAFBLAwQU&#10;AAYACAAAACEAAeu3Z+MAAAANAQAADwAAAGRycy9kb3ducmV2LnhtbEyPT0+DQBDF7yZ+h82YeDHt&#10;Uoi0IktjjH+S3ixW423LjkBkZwm7Bfz2jic9zrw3b34v3862EyMOvnWkYLWMQCBVzrRUK3gtHxcb&#10;ED5oMrpzhAq+0cO2OD/LdWbcRC847kMtOIR8phU0IfSZlL5q0Gq/dD0Sa59usDrwONTSDHricNvJ&#10;OIpSaXVL/KHRPd43WH3tT1bBx1X9vvPz02FKrpP+4Xks12+mVOryYr67BRFwDn9m+MVndCiY6ehO&#10;ZLzoFCz4lK0sRHGagmDLTZSsQRx5FSfxCmSRy/8tih8AAAD//wMAUEsBAi0AFAAGAAgAAAAhALaD&#10;OJL+AAAA4QEAABMAAAAAAAAAAAAAAAAAAAAAAFtDb250ZW50X1R5cGVzXS54bWxQSwECLQAUAAYA&#10;CAAAACEAOP0h/9YAAACUAQAACwAAAAAAAAAAAAAAAAAvAQAAX3JlbHMvLnJlbHNQSwECLQAUAAYA&#10;CAAAACEA9qCRMYcCAACLBQAADgAAAAAAAAAAAAAAAAAuAgAAZHJzL2Uyb0RvYy54bWxQSwECLQAU&#10;AAYACAAAACEAAeu3Z+MAAAANAQAADwAAAAAAAAAAAAAAAADhBAAAZHJzL2Rvd25yZXYueG1sUEsF&#10;BgAAAAAEAAQA8wAAAPEFAAAAAA==&#10;" fillcolor="white [3201]" stroked="f" strokeweight=".5pt">
                <v:textbox>
                  <w:txbxContent>
                    <w:p w:rsidR="00155D93" w:rsidRDefault="00155D93" w:rsidP="00155D93">
                      <w:pPr>
                        <w:pStyle w:val="Heading3"/>
                        <w:rPr>
                          <w:rFonts w:cs="Times New Roman"/>
                          <w:bCs w:val="0"/>
                          <w:color w:val="AC1D27"/>
                          <w:kern w:val="26"/>
                          <w:szCs w:val="24"/>
                          <w:lang w:bidi="en-US"/>
                        </w:rPr>
                      </w:pPr>
                      <w:r w:rsidRPr="00BC4030">
                        <w:rPr>
                          <w:rFonts w:cs="Times New Roman"/>
                          <w:bCs w:val="0"/>
                          <w:color w:val="AC1D27"/>
                          <w:kern w:val="26"/>
                          <w:szCs w:val="24"/>
                          <w:lang w:bidi="en-US"/>
                        </w:rPr>
                        <w:t>The World Humanitarian Summit presents a vital opportunity to consider the implications of global population ageing and ensure that the particular concerns of older people are included in the outcome. This briefing recommends how to include older people in three of the Summits themes: Reducing vulnerability and managing risk, Humanitarian effectiveness, and Serving the needs of people in conflict.</w:t>
                      </w:r>
                    </w:p>
                    <w:p w:rsidR="00155D93" w:rsidRDefault="00155D93"/>
                  </w:txbxContent>
                </v:textbox>
              </v:shape>
            </w:pict>
          </mc:Fallback>
        </mc:AlternateContent>
      </w:r>
      <w:r w:rsidR="00B57F7F">
        <w:rPr>
          <w:noProof/>
          <w:szCs w:val="20"/>
          <w:lang w:eastAsia="en-GB"/>
        </w:rPr>
        <w:drawing>
          <wp:anchor distT="0" distB="0" distL="114300" distR="114300" simplePos="0" relativeHeight="251660800" behindDoc="0" locked="0" layoutInCell="1" allowOverlap="1">
            <wp:simplePos x="0" y="0"/>
            <wp:positionH relativeFrom="column">
              <wp:posOffset>-228600</wp:posOffset>
            </wp:positionH>
            <wp:positionV relativeFrom="paragraph">
              <wp:posOffset>3926205</wp:posOffset>
            </wp:positionV>
            <wp:extent cx="3109595" cy="1714500"/>
            <wp:effectExtent l="0" t="0" r="0" b="0"/>
            <wp:wrapNone/>
            <wp:docPr id="17" name="Picture 17" descr="HelpAge-message-pane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pAge-message-panel-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959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F7F">
        <w:rPr>
          <w:noProof/>
          <w:lang w:eastAsia="en-GB"/>
        </w:rPr>
        <w:drawing>
          <wp:anchor distT="0" distB="0" distL="114300" distR="114300" simplePos="0" relativeHeight="251659776" behindDoc="0" locked="0" layoutInCell="1" allowOverlap="1">
            <wp:simplePos x="0" y="0"/>
            <wp:positionH relativeFrom="column">
              <wp:posOffset>-14605</wp:posOffset>
            </wp:positionH>
            <wp:positionV relativeFrom="paragraph">
              <wp:posOffset>937260</wp:posOffset>
            </wp:positionV>
            <wp:extent cx="5753100" cy="3829050"/>
            <wp:effectExtent l="0" t="0" r="0" b="0"/>
            <wp:wrapNone/>
            <wp:docPr id="21" name="Picture 21" descr="C:\Users\dama.sathianathan\Downloads\13100855294_f837e2a5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ma.sathianathan\Downloads\13100855294_f837e2a556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179" w:rsidRPr="00667CDC" w:rsidRDefault="00680179" w:rsidP="00680179">
      <w:pPr>
        <w:pStyle w:val="Introduction"/>
        <w:tabs>
          <w:tab w:val="right" w:pos="360"/>
          <w:tab w:val="left" w:pos="540"/>
        </w:tabs>
      </w:pPr>
    </w:p>
    <w:p w:rsidR="008F7B91" w:rsidRPr="005D3607" w:rsidRDefault="008F7B91" w:rsidP="008F7B91">
      <w:pPr>
        <w:rPr>
          <w:noProof/>
          <w:color w:val="AC1D27"/>
          <w:kern w:val="0"/>
          <w:sz w:val="40"/>
          <w:szCs w:val="40"/>
          <w:lang w:eastAsia="en-GB"/>
        </w:rPr>
      </w:pPr>
      <w:r w:rsidRPr="005D3607">
        <w:rPr>
          <w:noProof/>
          <w:color w:val="AC1D27"/>
          <w:kern w:val="0"/>
          <w:sz w:val="40"/>
          <w:szCs w:val="40"/>
          <w:lang w:eastAsia="en-GB"/>
        </w:rPr>
        <w:t>Reducing vulnerability and managing risk</w:t>
      </w:r>
    </w:p>
    <w:p w:rsidR="008F7B91" w:rsidRPr="000A6DBE" w:rsidRDefault="008F7B91" w:rsidP="008F7B91">
      <w:pPr>
        <w:pStyle w:val="Heading3"/>
        <w:rPr>
          <w:rFonts w:cs="Times New Roman"/>
          <w:b w:val="0"/>
          <w:bCs w:val="0"/>
          <w:color w:val="auto"/>
          <w:kern w:val="26"/>
          <w:szCs w:val="24"/>
          <w:lang w:bidi="en-US"/>
        </w:rPr>
      </w:pPr>
      <w:r w:rsidRPr="000A6DBE">
        <w:rPr>
          <w:rFonts w:cs="Times New Roman"/>
          <w:b w:val="0"/>
          <w:bCs w:val="0"/>
          <w:color w:val="auto"/>
          <w:kern w:val="26"/>
          <w:szCs w:val="24"/>
          <w:lang w:bidi="en-US"/>
        </w:rPr>
        <w:t>Global population ageing presents a growing challenge to humanita</w:t>
      </w:r>
      <w:r>
        <w:rPr>
          <w:rFonts w:cs="Times New Roman"/>
          <w:b w:val="0"/>
          <w:bCs w:val="0"/>
          <w:color w:val="auto"/>
          <w:kern w:val="26"/>
          <w:szCs w:val="24"/>
          <w:lang w:bidi="en-US"/>
        </w:rPr>
        <w:t>rian response and preparedness.</w:t>
      </w:r>
    </w:p>
    <w:p w:rsidR="008F7B91" w:rsidRPr="000A6DBE" w:rsidRDefault="008F7B91" w:rsidP="008F7B91">
      <w:pPr>
        <w:pStyle w:val="Heading3"/>
        <w:numPr>
          <w:ilvl w:val="0"/>
          <w:numId w:val="13"/>
        </w:numPr>
        <w:rPr>
          <w:rFonts w:cs="Times New Roman"/>
          <w:b w:val="0"/>
          <w:bCs w:val="0"/>
          <w:color w:val="auto"/>
          <w:kern w:val="26"/>
          <w:szCs w:val="24"/>
          <w:lang w:bidi="en-US"/>
        </w:rPr>
      </w:pPr>
      <w:r w:rsidRPr="000A6DBE">
        <w:rPr>
          <w:rFonts w:cs="Times New Roman"/>
          <w:b w:val="0"/>
          <w:bCs w:val="0"/>
          <w:color w:val="auto"/>
          <w:kern w:val="26"/>
          <w:szCs w:val="24"/>
          <w:lang w:bidi="en-US"/>
        </w:rPr>
        <w:t>Today, about 12.2 per cent of the world’s population is aged 60 or more (895 million people)</w:t>
      </w:r>
      <w:r>
        <w:rPr>
          <w:rStyle w:val="EndnoteReference"/>
          <w:rFonts w:cs="Times New Roman"/>
          <w:b w:val="0"/>
          <w:bCs w:val="0"/>
          <w:color w:val="auto"/>
          <w:kern w:val="26"/>
          <w:szCs w:val="24"/>
          <w:lang w:bidi="en-US"/>
        </w:rPr>
        <w:endnoteReference w:id="1"/>
      </w:r>
      <w:r w:rsidRPr="000A6DBE">
        <w:rPr>
          <w:rFonts w:cs="Times New Roman"/>
          <w:b w:val="0"/>
          <w:bCs w:val="0"/>
          <w:color w:val="auto"/>
          <w:kern w:val="26"/>
          <w:szCs w:val="24"/>
          <w:lang w:bidi="en-US"/>
        </w:rPr>
        <w:t>.  In just four years’ time, the number of older people will surpass 1 billion. By 2050, there will be 2 billion older people, accounting for more than one-fifth of the global population</w:t>
      </w:r>
      <w:r>
        <w:rPr>
          <w:rStyle w:val="EndnoteReference"/>
          <w:rFonts w:cs="Times New Roman"/>
          <w:b w:val="0"/>
          <w:bCs w:val="0"/>
          <w:color w:val="auto"/>
          <w:kern w:val="26"/>
          <w:szCs w:val="24"/>
          <w:lang w:bidi="en-US"/>
        </w:rPr>
        <w:endnoteReference w:id="2"/>
      </w:r>
      <w:r w:rsidRPr="000A6DBE">
        <w:rPr>
          <w:rFonts w:cs="Times New Roman"/>
          <w:b w:val="0"/>
          <w:bCs w:val="0"/>
          <w:color w:val="auto"/>
          <w:kern w:val="26"/>
          <w:szCs w:val="24"/>
          <w:lang w:bidi="en-US"/>
        </w:rPr>
        <w:t xml:space="preserve">. </w:t>
      </w:r>
    </w:p>
    <w:p w:rsidR="008F7B91" w:rsidRPr="000A6DBE" w:rsidRDefault="008F7B91" w:rsidP="008F7B91">
      <w:pPr>
        <w:pStyle w:val="Heading3"/>
        <w:numPr>
          <w:ilvl w:val="0"/>
          <w:numId w:val="13"/>
        </w:numPr>
        <w:rPr>
          <w:rFonts w:cs="Times New Roman"/>
          <w:b w:val="0"/>
          <w:bCs w:val="0"/>
          <w:color w:val="auto"/>
          <w:kern w:val="26"/>
          <w:szCs w:val="24"/>
          <w:lang w:bidi="en-US"/>
        </w:rPr>
      </w:pPr>
      <w:r w:rsidRPr="000A6DBE">
        <w:rPr>
          <w:rFonts w:cs="Times New Roman"/>
          <w:b w:val="0"/>
          <w:bCs w:val="0"/>
          <w:color w:val="auto"/>
          <w:kern w:val="26"/>
          <w:szCs w:val="24"/>
          <w:lang w:bidi="en-US"/>
        </w:rPr>
        <w:t>By 2050, there will be nearly as many people aged 60 or over than children under 15</w:t>
      </w:r>
      <w:r>
        <w:rPr>
          <w:rStyle w:val="EndnoteReference"/>
          <w:rFonts w:cs="Times New Roman"/>
          <w:b w:val="0"/>
          <w:bCs w:val="0"/>
          <w:color w:val="auto"/>
          <w:kern w:val="26"/>
          <w:szCs w:val="24"/>
          <w:lang w:bidi="en-US"/>
        </w:rPr>
        <w:endnoteReference w:id="3"/>
      </w:r>
      <w:r w:rsidRPr="000A6DBE">
        <w:rPr>
          <w:rFonts w:cs="Times New Roman"/>
          <w:b w:val="0"/>
          <w:bCs w:val="0"/>
          <w:color w:val="auto"/>
          <w:kern w:val="26"/>
          <w:szCs w:val="24"/>
          <w:lang w:bidi="en-US"/>
        </w:rPr>
        <w:t xml:space="preserve">. </w:t>
      </w:r>
    </w:p>
    <w:p w:rsidR="008F7B91" w:rsidRPr="000A6DBE" w:rsidRDefault="008F7B91" w:rsidP="008F7B91">
      <w:pPr>
        <w:pStyle w:val="Heading3"/>
        <w:numPr>
          <w:ilvl w:val="0"/>
          <w:numId w:val="13"/>
        </w:numPr>
        <w:rPr>
          <w:rFonts w:cs="Times New Roman"/>
          <w:b w:val="0"/>
          <w:bCs w:val="0"/>
          <w:color w:val="auto"/>
          <w:kern w:val="26"/>
          <w:szCs w:val="24"/>
          <w:lang w:bidi="en-US"/>
        </w:rPr>
      </w:pPr>
      <w:r w:rsidRPr="000A6DBE">
        <w:rPr>
          <w:rFonts w:cs="Times New Roman"/>
          <w:b w:val="0"/>
          <w:bCs w:val="0"/>
          <w:color w:val="auto"/>
          <w:kern w:val="26"/>
          <w:szCs w:val="24"/>
          <w:lang w:bidi="en-US"/>
        </w:rPr>
        <w:t>Currently, two-thirds of older people live in developing countries, where disasters are more likely to occur and the effect to be greater. By 2050, th</w:t>
      </w:r>
      <w:r>
        <w:rPr>
          <w:rFonts w:cs="Times New Roman"/>
          <w:b w:val="0"/>
          <w:bCs w:val="0"/>
          <w:color w:val="auto"/>
          <w:kern w:val="26"/>
          <w:szCs w:val="24"/>
          <w:lang w:bidi="en-US"/>
        </w:rPr>
        <w:t>is will be almost four-fifths</w:t>
      </w:r>
      <w:r>
        <w:rPr>
          <w:rStyle w:val="EndnoteReference"/>
          <w:rFonts w:cs="Times New Roman"/>
          <w:b w:val="0"/>
          <w:bCs w:val="0"/>
          <w:color w:val="auto"/>
          <w:kern w:val="26"/>
          <w:szCs w:val="24"/>
          <w:lang w:bidi="en-US"/>
        </w:rPr>
        <w:endnoteReference w:id="4"/>
      </w:r>
      <w:r>
        <w:rPr>
          <w:rFonts w:cs="Times New Roman"/>
          <w:b w:val="0"/>
          <w:bCs w:val="0"/>
          <w:color w:val="auto"/>
          <w:kern w:val="26"/>
          <w:szCs w:val="24"/>
          <w:lang w:bidi="en-US"/>
        </w:rPr>
        <w:t xml:space="preserve">. </w:t>
      </w:r>
    </w:p>
    <w:p w:rsidR="008F7B91" w:rsidRPr="000A6DBE" w:rsidRDefault="008F7B91" w:rsidP="008F7B91">
      <w:pPr>
        <w:pStyle w:val="Heading3"/>
        <w:rPr>
          <w:rFonts w:cs="Times New Roman"/>
          <w:b w:val="0"/>
          <w:bCs w:val="0"/>
          <w:color w:val="auto"/>
          <w:kern w:val="26"/>
          <w:szCs w:val="24"/>
          <w:lang w:bidi="en-US"/>
        </w:rPr>
      </w:pPr>
      <w:r w:rsidRPr="000A6DBE">
        <w:rPr>
          <w:rFonts w:cs="Times New Roman"/>
          <w:b w:val="0"/>
          <w:bCs w:val="0"/>
          <w:color w:val="auto"/>
          <w:kern w:val="26"/>
          <w:szCs w:val="24"/>
          <w:lang w:bidi="en-US"/>
        </w:rPr>
        <w:t xml:space="preserve">Demographic changes demand that humanitarian assistance is adapted to the specific needs and risks of older people, particularly in the areas of health, nutrition and disaster risk management. </w:t>
      </w:r>
    </w:p>
    <w:p w:rsidR="008F7B91" w:rsidRDefault="008F7B91" w:rsidP="008F7B91">
      <w:pPr>
        <w:pStyle w:val="Heading3"/>
        <w:rPr>
          <w:rFonts w:cs="Times New Roman"/>
          <w:b w:val="0"/>
          <w:bCs w:val="0"/>
          <w:color w:val="auto"/>
          <w:kern w:val="26"/>
          <w:szCs w:val="24"/>
          <w:lang w:bidi="en-US"/>
        </w:rPr>
      </w:pPr>
      <w:r w:rsidRPr="000A6DBE">
        <w:rPr>
          <w:rFonts w:cs="Times New Roman"/>
          <w:b w:val="0"/>
          <w:bCs w:val="0"/>
          <w:color w:val="auto"/>
          <w:kern w:val="26"/>
          <w:szCs w:val="24"/>
          <w:lang w:bidi="en-US"/>
        </w:rPr>
        <w:t xml:space="preserve">The overall efficiency and effectiveness of humanitarian operations is undermined by the exclusion of older people from programming in these areas. This may constitute a breach of the principle of impartiality. </w:t>
      </w:r>
    </w:p>
    <w:p w:rsidR="008F7B91" w:rsidRPr="000A6DBE" w:rsidRDefault="008F7B91" w:rsidP="008F7B91">
      <w:pPr>
        <w:rPr>
          <w:lang w:bidi="en-US"/>
        </w:rPr>
      </w:pPr>
    </w:p>
    <w:p w:rsidR="008F7B91" w:rsidRPr="000A6DBE" w:rsidRDefault="008F7B91" w:rsidP="008F7B91">
      <w:pPr>
        <w:spacing w:after="0"/>
        <w:rPr>
          <w:rFonts w:cs="Arial"/>
          <w:b/>
          <w:bCs/>
          <w:color w:val="E84D30"/>
          <w:kern w:val="50"/>
          <w:szCs w:val="44"/>
          <w:lang w:bidi="en-US"/>
        </w:rPr>
      </w:pPr>
      <w:r w:rsidRPr="000A6DBE">
        <w:rPr>
          <w:rFonts w:cs="Arial"/>
          <w:b/>
          <w:bCs/>
          <w:color w:val="E84D30"/>
          <w:kern w:val="50"/>
          <w:szCs w:val="44"/>
          <w:lang w:bidi="en-US"/>
        </w:rPr>
        <w:t>Health interventions must address non-communicable diseases (NCDs).</w:t>
      </w:r>
    </w:p>
    <w:p w:rsidR="008F7B91" w:rsidRPr="000A6DBE" w:rsidRDefault="008F7B91" w:rsidP="008F7B91">
      <w:pPr>
        <w:numPr>
          <w:ilvl w:val="0"/>
          <w:numId w:val="9"/>
        </w:numPr>
        <w:spacing w:after="0"/>
        <w:contextualSpacing/>
        <w:rPr>
          <w:rFonts w:eastAsiaTheme="minorHAnsi" w:cstheme="minorHAnsi"/>
          <w:kern w:val="0"/>
          <w:szCs w:val="22"/>
          <w:lang w:eastAsia="en-GB"/>
        </w:rPr>
      </w:pPr>
      <w:r w:rsidRPr="000A6DBE">
        <w:rPr>
          <w:rFonts w:eastAsiaTheme="minorHAnsi" w:cs="Calibri"/>
          <w:kern w:val="0"/>
          <w:szCs w:val="22"/>
          <w:lang w:eastAsia="en-GB"/>
        </w:rPr>
        <w:t>Research in Jordan and Lebanon found that 54 per cent of older refugees were affected by one or more NCDs, and 65 per cent showed signs of psychological distress.</w:t>
      </w:r>
      <w:r w:rsidRPr="000A6DBE">
        <w:rPr>
          <w:rFonts w:asciiTheme="minorHAnsi" w:eastAsiaTheme="minorHAnsi" w:hAnsiTheme="minorHAnsi" w:cs="Lexia-Bold"/>
          <w:bCs/>
          <w:kern w:val="0"/>
          <w:szCs w:val="22"/>
          <w:vertAlign w:val="superscript"/>
        </w:rPr>
        <w:endnoteReference w:id="5"/>
      </w:r>
      <w:r w:rsidRPr="000A6DBE">
        <w:rPr>
          <w:rFonts w:eastAsiaTheme="minorHAnsi" w:cstheme="minorHAnsi"/>
          <w:kern w:val="0"/>
          <w:szCs w:val="22"/>
          <w:lang w:eastAsia="en-GB"/>
        </w:rPr>
        <w:t xml:space="preserve"> </w:t>
      </w:r>
      <w:r w:rsidRPr="000A6DBE">
        <w:rPr>
          <w:rFonts w:eastAsiaTheme="minorHAnsi" w:cs="Calibri"/>
          <w:kern w:val="0"/>
          <w:szCs w:val="22"/>
          <w:lang w:eastAsia="en-GB"/>
        </w:rPr>
        <w:t xml:space="preserve">Interruptions in treatment for NCDs can prove fatal. </w:t>
      </w:r>
      <w:r w:rsidRPr="000A6DBE">
        <w:rPr>
          <w:rFonts w:eastAsiaTheme="minorHAnsi" w:cstheme="minorHAnsi"/>
          <w:kern w:val="0"/>
          <w:szCs w:val="22"/>
          <w:lang w:eastAsia="en-GB"/>
        </w:rPr>
        <w:t>The medical charity, MSF, has identified Syrian refugees affected by NCDs as the silent casualties of war – those dying from manageable diseases.</w:t>
      </w:r>
      <w:r w:rsidRPr="000A6DBE">
        <w:rPr>
          <w:rFonts w:eastAsiaTheme="minorHAnsi" w:cstheme="minorHAnsi"/>
          <w:kern w:val="0"/>
          <w:szCs w:val="22"/>
          <w:vertAlign w:val="superscript"/>
          <w:lang w:eastAsia="en-GB"/>
        </w:rPr>
        <w:endnoteReference w:id="6"/>
      </w:r>
    </w:p>
    <w:p w:rsidR="008F7B91" w:rsidRPr="000A6DBE" w:rsidRDefault="008F7B91" w:rsidP="008F7B91">
      <w:pPr>
        <w:spacing w:after="0"/>
        <w:jc w:val="both"/>
        <w:rPr>
          <w:rFonts w:eastAsiaTheme="minorHAnsi" w:cstheme="minorHAnsi"/>
          <w:kern w:val="0"/>
          <w:szCs w:val="22"/>
          <w:lang w:eastAsia="en-GB"/>
        </w:rPr>
      </w:pPr>
    </w:p>
    <w:p w:rsidR="008F7B91" w:rsidRPr="000A6DBE" w:rsidRDefault="008F7B91" w:rsidP="008F7B91">
      <w:pPr>
        <w:spacing w:after="0"/>
        <w:rPr>
          <w:rFonts w:cs="Arial"/>
          <w:b/>
          <w:bCs/>
          <w:color w:val="E84D30"/>
          <w:kern w:val="50"/>
          <w:szCs w:val="44"/>
          <w:lang w:bidi="en-US"/>
        </w:rPr>
      </w:pPr>
      <w:r w:rsidRPr="000A6DBE">
        <w:rPr>
          <w:rFonts w:cs="Arial"/>
          <w:b/>
          <w:bCs/>
          <w:color w:val="E84D30"/>
          <w:kern w:val="50"/>
          <w:szCs w:val="44"/>
          <w:lang w:bidi="en-US"/>
        </w:rPr>
        <w:t>Nutrition interventions must include older people in assessments and response.</w:t>
      </w:r>
    </w:p>
    <w:p w:rsidR="008F7B91" w:rsidRPr="000A6DBE" w:rsidRDefault="008F7B91" w:rsidP="008F7B91">
      <w:pPr>
        <w:numPr>
          <w:ilvl w:val="0"/>
          <w:numId w:val="10"/>
        </w:numPr>
        <w:spacing w:after="0"/>
        <w:contextualSpacing/>
        <w:rPr>
          <w:rFonts w:eastAsiaTheme="minorHAnsi" w:cstheme="minorHAnsi"/>
          <w:kern w:val="0"/>
          <w:szCs w:val="22"/>
          <w:lang w:eastAsia="en-GB"/>
        </w:rPr>
      </w:pPr>
      <w:r w:rsidRPr="000A6DBE">
        <w:rPr>
          <w:rFonts w:eastAsiaTheme="minorHAnsi" w:cstheme="minorHAnsi"/>
          <w:kern w:val="0"/>
          <w:szCs w:val="22"/>
          <w:lang w:eastAsia="en-GB"/>
        </w:rPr>
        <w:t xml:space="preserve">HelpAge nutrition assessments in </w:t>
      </w:r>
      <w:proofErr w:type="spellStart"/>
      <w:r w:rsidRPr="000A6DBE">
        <w:rPr>
          <w:rFonts w:eastAsiaTheme="minorHAnsi" w:cstheme="minorHAnsi"/>
          <w:kern w:val="0"/>
          <w:szCs w:val="22"/>
          <w:lang w:eastAsia="en-GB"/>
        </w:rPr>
        <w:t>Dadaab</w:t>
      </w:r>
      <w:proofErr w:type="spellEnd"/>
      <w:r w:rsidRPr="000A6DBE">
        <w:rPr>
          <w:rFonts w:eastAsiaTheme="minorHAnsi" w:cstheme="minorHAnsi"/>
          <w:kern w:val="0"/>
          <w:szCs w:val="22"/>
          <w:lang w:eastAsia="en-GB"/>
        </w:rPr>
        <w:t xml:space="preserve"> refugee camp in Kenya,</w:t>
      </w:r>
      <w:r w:rsidRPr="000A6DBE">
        <w:rPr>
          <w:rFonts w:eastAsiaTheme="minorHAnsi" w:cstheme="minorHAnsi"/>
          <w:kern w:val="0"/>
          <w:szCs w:val="22"/>
          <w:vertAlign w:val="superscript"/>
          <w:lang w:eastAsia="en-GB"/>
        </w:rPr>
        <w:endnoteReference w:id="7"/>
      </w:r>
      <w:r w:rsidRPr="000A6DBE">
        <w:rPr>
          <w:rFonts w:eastAsiaTheme="minorHAnsi" w:cstheme="minorHAnsi"/>
          <w:kern w:val="0"/>
          <w:szCs w:val="22"/>
          <w:lang w:eastAsia="en-GB"/>
        </w:rPr>
        <w:t xml:space="preserve"> Chad</w:t>
      </w:r>
      <w:r w:rsidRPr="000A6DBE">
        <w:rPr>
          <w:rFonts w:eastAsiaTheme="minorHAnsi" w:cstheme="minorHAnsi"/>
          <w:kern w:val="0"/>
          <w:szCs w:val="22"/>
          <w:vertAlign w:val="superscript"/>
          <w:lang w:eastAsia="en-GB"/>
        </w:rPr>
        <w:endnoteReference w:id="8"/>
      </w:r>
      <w:r w:rsidRPr="000A6DBE">
        <w:rPr>
          <w:rFonts w:eastAsiaTheme="minorHAnsi" w:cstheme="minorHAnsi"/>
          <w:kern w:val="0"/>
          <w:szCs w:val="22"/>
          <w:lang w:eastAsia="en-GB"/>
        </w:rPr>
        <w:t xml:space="preserve"> and Ethiopia</w:t>
      </w:r>
      <w:r w:rsidRPr="000A6DBE">
        <w:rPr>
          <w:rFonts w:eastAsiaTheme="minorHAnsi" w:cstheme="minorHAnsi"/>
          <w:kern w:val="0"/>
          <w:szCs w:val="22"/>
          <w:vertAlign w:val="superscript"/>
          <w:lang w:eastAsia="en-GB"/>
        </w:rPr>
        <w:endnoteReference w:id="9"/>
      </w:r>
      <w:r w:rsidRPr="000A6DBE">
        <w:rPr>
          <w:rFonts w:eastAsiaTheme="minorHAnsi" w:cstheme="minorHAnsi"/>
          <w:kern w:val="0"/>
          <w:szCs w:val="22"/>
          <w:lang w:eastAsia="en-GB"/>
        </w:rPr>
        <w:t xml:space="preserve"> all found significant levels of malnutrition among older people, but no prior assessment of need or response activities.</w:t>
      </w:r>
    </w:p>
    <w:p w:rsidR="008F7B91" w:rsidRPr="000A6DBE" w:rsidRDefault="008F7B91" w:rsidP="008F7B91">
      <w:pPr>
        <w:spacing w:after="0"/>
        <w:rPr>
          <w:rFonts w:eastAsiaTheme="minorHAnsi" w:cs="Calibri"/>
          <w:kern w:val="0"/>
          <w:szCs w:val="22"/>
          <w:highlight w:val="yellow"/>
          <w:lang w:eastAsia="en-GB"/>
        </w:rPr>
      </w:pPr>
    </w:p>
    <w:p w:rsidR="008F7B91" w:rsidRPr="000A6DBE" w:rsidRDefault="008F7B91" w:rsidP="008F7B91">
      <w:pPr>
        <w:spacing w:after="0"/>
        <w:rPr>
          <w:rFonts w:cs="Arial"/>
          <w:b/>
          <w:bCs/>
          <w:color w:val="E84D30"/>
          <w:kern w:val="50"/>
          <w:szCs w:val="44"/>
          <w:lang w:bidi="en-US"/>
        </w:rPr>
      </w:pPr>
      <w:r w:rsidRPr="000A6DBE">
        <w:rPr>
          <w:rFonts w:cs="Arial"/>
          <w:b/>
          <w:bCs/>
          <w:color w:val="E84D30"/>
          <w:kern w:val="50"/>
          <w:szCs w:val="44"/>
          <w:lang w:bidi="en-US"/>
        </w:rPr>
        <w:t>Disaster risk management policy and practice must protect older people in crisis.</w:t>
      </w:r>
    </w:p>
    <w:p w:rsidR="008F7B91" w:rsidRPr="000A6DBE" w:rsidRDefault="008F7B91" w:rsidP="008F7B91">
      <w:pPr>
        <w:numPr>
          <w:ilvl w:val="0"/>
          <w:numId w:val="7"/>
        </w:numPr>
        <w:spacing w:after="0"/>
        <w:contextualSpacing/>
        <w:rPr>
          <w:rFonts w:eastAsiaTheme="minorHAnsi" w:cstheme="minorHAnsi"/>
          <w:kern w:val="0"/>
          <w:szCs w:val="22"/>
          <w:lang w:eastAsia="en-GB"/>
        </w:rPr>
      </w:pPr>
      <w:r w:rsidRPr="000A6DBE">
        <w:rPr>
          <w:rFonts w:eastAsiaTheme="minorHAnsi" w:cs="Calibri"/>
          <w:kern w:val="0"/>
          <w:szCs w:val="22"/>
          <w:lang w:eastAsia="en-GB"/>
        </w:rPr>
        <w:t>During Hurricane Katrina in 2005, 75 per cent of those who died were aged over 60, although this age group only made up 16 per cent of the local population. In the Japanese tsunami of 2011, 56 per cent of those who died were aged 65, although this age group comprised just 23 per cent of the population.</w:t>
      </w:r>
    </w:p>
    <w:p w:rsidR="008F7B91" w:rsidRPr="000A6DBE" w:rsidRDefault="008F7B91" w:rsidP="008F7B91">
      <w:pPr>
        <w:spacing w:after="0"/>
        <w:jc w:val="both"/>
        <w:rPr>
          <w:rFonts w:eastAsiaTheme="minorHAnsi" w:cstheme="minorHAnsi"/>
          <w:kern w:val="0"/>
          <w:szCs w:val="22"/>
          <w:lang w:eastAsia="en-GB"/>
        </w:rPr>
      </w:pPr>
    </w:p>
    <w:p w:rsidR="008F7B91" w:rsidRPr="000A6DBE" w:rsidRDefault="008F7B91" w:rsidP="008F7B91">
      <w:pPr>
        <w:spacing w:after="0"/>
        <w:rPr>
          <w:rFonts w:cs="Arial"/>
          <w:b/>
          <w:bCs/>
          <w:color w:val="E84D30"/>
          <w:kern w:val="50"/>
          <w:szCs w:val="44"/>
          <w:lang w:bidi="en-US"/>
        </w:rPr>
      </w:pPr>
      <w:r w:rsidRPr="000A6DBE">
        <w:rPr>
          <w:rFonts w:cs="Arial"/>
          <w:b/>
          <w:bCs/>
          <w:color w:val="E84D30"/>
          <w:kern w:val="50"/>
          <w:szCs w:val="44"/>
          <w:lang w:bidi="en-US"/>
        </w:rPr>
        <w:t xml:space="preserve">Financing mechanisms must include older people. </w:t>
      </w:r>
    </w:p>
    <w:p w:rsidR="008F7B91" w:rsidRPr="000A6DBE" w:rsidRDefault="008F7B91" w:rsidP="008F7B91">
      <w:pPr>
        <w:spacing w:after="0"/>
        <w:rPr>
          <w:rFonts w:eastAsiaTheme="minorHAnsi" w:cs="Calibri"/>
          <w:kern w:val="0"/>
          <w:szCs w:val="22"/>
          <w:lang w:eastAsia="en-GB"/>
        </w:rPr>
      </w:pPr>
      <w:r w:rsidRPr="000A6DBE">
        <w:rPr>
          <w:rFonts w:eastAsiaTheme="minorHAnsi" w:cs="Calibri"/>
          <w:kern w:val="0"/>
          <w:szCs w:val="22"/>
          <w:lang w:eastAsia="en-GB"/>
        </w:rPr>
        <w:t xml:space="preserve">Current humanitarian financing mechanisms are inadequate to provide the resources to address the needs of older people and other vulnerable marginalised groups. </w:t>
      </w:r>
    </w:p>
    <w:p w:rsidR="008F7B91" w:rsidRPr="000A6DBE" w:rsidRDefault="008F7B91" w:rsidP="008F7B91">
      <w:pPr>
        <w:spacing w:after="0"/>
        <w:rPr>
          <w:rFonts w:eastAsiaTheme="minorHAnsi" w:cs="Calibri"/>
          <w:kern w:val="0"/>
          <w:szCs w:val="22"/>
          <w:lang w:eastAsia="en-GB"/>
        </w:rPr>
      </w:pPr>
    </w:p>
    <w:p w:rsidR="008F7B91" w:rsidRPr="000A6DBE" w:rsidRDefault="008F7B91" w:rsidP="008F7B91">
      <w:pPr>
        <w:numPr>
          <w:ilvl w:val="0"/>
          <w:numId w:val="8"/>
        </w:numPr>
        <w:spacing w:after="0"/>
        <w:ind w:left="360"/>
        <w:contextualSpacing/>
        <w:rPr>
          <w:rFonts w:eastAsiaTheme="minorHAnsi" w:cs="Calibri"/>
          <w:kern w:val="0"/>
          <w:szCs w:val="22"/>
          <w:lang w:eastAsia="en-GB"/>
        </w:rPr>
      </w:pPr>
      <w:r w:rsidRPr="000A6DBE">
        <w:rPr>
          <w:rFonts w:eastAsiaTheme="minorHAnsi" w:cs="Calibri"/>
          <w:kern w:val="0"/>
          <w:szCs w:val="22"/>
          <w:lang w:eastAsia="en-GB"/>
        </w:rPr>
        <w:t>Three consecutive studies carried out by HelpAge International covering the period from 2010-2012</w:t>
      </w:r>
      <w:r w:rsidRPr="000A6DBE">
        <w:rPr>
          <w:rFonts w:eastAsiaTheme="minorHAnsi" w:cs="Calibri"/>
          <w:kern w:val="0"/>
          <w:szCs w:val="22"/>
          <w:vertAlign w:val="superscript"/>
          <w:lang w:eastAsia="en-GB"/>
        </w:rPr>
        <w:endnoteReference w:id="10"/>
      </w:r>
      <w:r w:rsidRPr="000A6DBE">
        <w:rPr>
          <w:rFonts w:eastAsiaTheme="minorHAnsi" w:cs="Calibri"/>
          <w:kern w:val="0"/>
          <w:szCs w:val="22"/>
          <w:lang w:eastAsia="en-GB"/>
        </w:rPr>
        <w:t>,</w:t>
      </w:r>
      <w:r w:rsidRPr="000A6DBE">
        <w:rPr>
          <w:rFonts w:eastAsiaTheme="minorHAnsi" w:cs="Calibri"/>
          <w:kern w:val="0"/>
          <w:szCs w:val="22"/>
          <w:vertAlign w:val="superscript"/>
          <w:lang w:eastAsia="en-GB"/>
        </w:rPr>
        <w:endnoteReference w:id="11"/>
      </w:r>
      <w:r w:rsidRPr="000A6DBE">
        <w:rPr>
          <w:rFonts w:eastAsiaTheme="minorHAnsi" w:cs="Calibri"/>
          <w:kern w:val="0"/>
          <w:szCs w:val="22"/>
          <w:lang w:eastAsia="en-GB"/>
        </w:rPr>
        <w:t xml:space="preserve"> found that in 2010-2011, fewer than 1</w:t>
      </w:r>
      <w:r w:rsidRPr="000A6DBE">
        <w:rPr>
          <w:rFonts w:asciiTheme="minorHAnsi" w:eastAsiaTheme="minorHAnsi" w:hAnsiTheme="minorHAnsi" w:cstheme="minorHAnsi"/>
          <w:kern w:val="0"/>
          <w:szCs w:val="22"/>
          <w:lang w:eastAsia="en-GB"/>
        </w:rPr>
        <w:t xml:space="preserve"> </w:t>
      </w:r>
      <w:r w:rsidRPr="000A6DBE">
        <w:rPr>
          <w:rFonts w:eastAsiaTheme="minorHAnsi" w:cstheme="minorHAnsi"/>
          <w:kern w:val="0"/>
          <w:szCs w:val="22"/>
          <w:lang w:eastAsia="en-GB"/>
        </w:rPr>
        <w:t xml:space="preserve">per cent </w:t>
      </w:r>
      <w:r w:rsidRPr="000A6DBE">
        <w:rPr>
          <w:rFonts w:eastAsiaTheme="minorHAnsi" w:cs="Calibri"/>
          <w:kern w:val="0"/>
          <w:szCs w:val="22"/>
          <w:lang w:eastAsia="en-GB"/>
        </w:rPr>
        <w:t xml:space="preserve">of projects included activities targeting older people and only 0.3 per cent were funded. In 2012, the proportion targeting older people had risen slightly to 2.1 </w:t>
      </w:r>
      <w:r w:rsidRPr="000A6DBE">
        <w:rPr>
          <w:rFonts w:eastAsiaTheme="minorHAnsi" w:cstheme="minorHAnsi"/>
          <w:kern w:val="0"/>
          <w:szCs w:val="22"/>
          <w:lang w:eastAsia="en-GB"/>
        </w:rPr>
        <w:t xml:space="preserve">per cent </w:t>
      </w:r>
      <w:r w:rsidRPr="000A6DBE">
        <w:rPr>
          <w:rFonts w:eastAsiaTheme="minorHAnsi" w:cs="Calibri"/>
          <w:kern w:val="0"/>
          <w:szCs w:val="22"/>
          <w:lang w:eastAsia="en-GB"/>
        </w:rPr>
        <w:t>and the proportion funded to 1 per cent.</w:t>
      </w:r>
    </w:p>
    <w:p w:rsidR="008F7B91" w:rsidRPr="000A6DBE" w:rsidRDefault="008F7B91" w:rsidP="008F7B91">
      <w:pPr>
        <w:spacing w:after="0"/>
        <w:rPr>
          <w:rFonts w:eastAsiaTheme="minorHAnsi" w:cs="Calibri"/>
          <w:kern w:val="0"/>
          <w:szCs w:val="22"/>
          <w:lang w:eastAsia="en-GB"/>
        </w:rPr>
      </w:pPr>
    </w:p>
    <w:p w:rsidR="008F7B91" w:rsidRPr="005D3607" w:rsidRDefault="008F7B91" w:rsidP="008F7B91">
      <w:pPr>
        <w:rPr>
          <w:noProof/>
          <w:color w:val="AC1D27"/>
          <w:kern w:val="0"/>
          <w:sz w:val="40"/>
          <w:szCs w:val="40"/>
          <w:lang w:eastAsia="en-GB"/>
        </w:rPr>
      </w:pPr>
      <w:r w:rsidRPr="005D3607">
        <w:rPr>
          <w:noProof/>
          <w:color w:val="AC1D27"/>
          <w:kern w:val="0"/>
          <w:sz w:val="40"/>
          <w:szCs w:val="40"/>
          <w:lang w:eastAsia="en-GB"/>
        </w:rPr>
        <w:t>Humanitarian effectiveness</w:t>
      </w:r>
    </w:p>
    <w:p w:rsidR="008F7B91" w:rsidRPr="00F43180" w:rsidRDefault="008F7B91" w:rsidP="008F7B91">
      <w:pPr>
        <w:rPr>
          <w:rFonts w:cs="Arial"/>
          <w:b/>
          <w:bCs/>
          <w:color w:val="E84D30"/>
          <w:kern w:val="50"/>
          <w:szCs w:val="44"/>
          <w:lang w:bidi="en-US"/>
        </w:rPr>
      </w:pPr>
      <w:r w:rsidRPr="00F43180">
        <w:rPr>
          <w:rFonts w:cs="Arial"/>
          <w:b/>
          <w:bCs/>
          <w:color w:val="E84D30"/>
          <w:kern w:val="50"/>
          <w:szCs w:val="44"/>
          <w:lang w:bidi="en-US"/>
        </w:rPr>
        <w:t xml:space="preserve">Meaningful participation of all affected populations, including older men and women must begin with a systematic assessment of their needs and capacities. </w:t>
      </w:r>
    </w:p>
    <w:p w:rsidR="008F7B91" w:rsidRPr="00F43180" w:rsidRDefault="008F7B91" w:rsidP="008F7B91">
      <w:pPr>
        <w:pStyle w:val="Introduction"/>
        <w:numPr>
          <w:ilvl w:val="0"/>
          <w:numId w:val="10"/>
        </w:numPr>
        <w:rPr>
          <w:b w:val="0"/>
          <w:color w:val="auto"/>
        </w:rPr>
      </w:pPr>
      <w:r w:rsidRPr="00F43180">
        <w:rPr>
          <w:rFonts w:cs="Arial"/>
          <w:b w:val="0"/>
          <w:bCs/>
          <w:color w:val="auto"/>
          <w:kern w:val="50"/>
          <w:szCs w:val="44"/>
          <w:lang w:bidi="en-US"/>
        </w:rPr>
        <w:lastRenderedPageBreak/>
        <w:t>Impartial, inclusive needs assessments must inform the design, targeting and delivery of assistance</w:t>
      </w:r>
      <w:r w:rsidRPr="00F43180">
        <w:rPr>
          <w:b w:val="0"/>
          <w:color w:val="auto"/>
        </w:rPr>
        <w:t xml:space="preserve">. Assessments must include: </w:t>
      </w:r>
    </w:p>
    <w:p w:rsidR="008F7B91" w:rsidRPr="00F43180" w:rsidRDefault="008F7B91" w:rsidP="008F7B91">
      <w:pPr>
        <w:pStyle w:val="Introduction"/>
        <w:numPr>
          <w:ilvl w:val="1"/>
          <w:numId w:val="10"/>
        </w:numPr>
        <w:rPr>
          <w:b w:val="0"/>
          <w:color w:val="auto"/>
        </w:rPr>
      </w:pPr>
      <w:r w:rsidRPr="00F43180">
        <w:rPr>
          <w:b w:val="0"/>
          <w:color w:val="auto"/>
        </w:rPr>
        <w:t>Consultation and participation of older men and women</w:t>
      </w:r>
    </w:p>
    <w:p w:rsidR="008F7B91" w:rsidRPr="008F7B91" w:rsidRDefault="008F7B91" w:rsidP="008F7B91">
      <w:pPr>
        <w:pStyle w:val="Introduction"/>
        <w:numPr>
          <w:ilvl w:val="1"/>
          <w:numId w:val="10"/>
        </w:numPr>
        <w:rPr>
          <w:b w:val="0"/>
          <w:color w:val="auto"/>
        </w:rPr>
      </w:pPr>
      <w:r w:rsidRPr="00F43180">
        <w:rPr>
          <w:b w:val="0"/>
          <w:color w:val="auto"/>
        </w:rPr>
        <w:t>Collection, analysis and use of sex- and age-disaggregated data to support the design of accessible and appropriate response</w:t>
      </w:r>
    </w:p>
    <w:p w:rsidR="008F7B91" w:rsidRDefault="008F7B91" w:rsidP="008F7B91">
      <w:pPr>
        <w:pStyle w:val="Introduction"/>
        <w:numPr>
          <w:ilvl w:val="0"/>
          <w:numId w:val="10"/>
        </w:numPr>
        <w:rPr>
          <w:b w:val="0"/>
          <w:color w:val="auto"/>
        </w:rPr>
      </w:pPr>
      <w:r w:rsidRPr="00F43180">
        <w:rPr>
          <w:rFonts w:cs="Arial"/>
          <w:b w:val="0"/>
          <w:bCs/>
          <w:color w:val="auto"/>
          <w:kern w:val="50"/>
          <w:szCs w:val="44"/>
          <w:lang w:bidi="en-US"/>
        </w:rPr>
        <w:t>Older people have skills and capacities to support response delivery</w:t>
      </w:r>
      <w:r w:rsidRPr="00F43180">
        <w:rPr>
          <w:b w:val="0"/>
          <w:color w:val="auto"/>
        </w:rPr>
        <w:t xml:space="preserve">. Older people’s associations, established with support from HelpAge, provide a replicable model of community response that has proved successful in supporting needs assessments, distributions, psychosocial support and monitoring in contexts including DRC, Ethiopia, Gaza, Haiti, the Philippines and Sudan. </w:t>
      </w:r>
    </w:p>
    <w:p w:rsidR="008F7B91" w:rsidRPr="008F7B91" w:rsidRDefault="008F7B91" w:rsidP="008F7B91">
      <w:pPr>
        <w:pStyle w:val="Introduction"/>
        <w:numPr>
          <w:ilvl w:val="0"/>
          <w:numId w:val="10"/>
        </w:numPr>
        <w:rPr>
          <w:b w:val="0"/>
          <w:color w:val="auto"/>
        </w:rPr>
      </w:pPr>
      <w:r w:rsidRPr="008F7B91">
        <w:rPr>
          <w:rFonts w:cs="Arial"/>
          <w:b w:val="0"/>
          <w:bCs/>
          <w:color w:val="auto"/>
          <w:kern w:val="50"/>
          <w:szCs w:val="44"/>
          <w:lang w:bidi="en-US"/>
        </w:rPr>
        <w:t>Humanitarian standards such as Sphere provide little technical detail to address the needs of older men and women</w:t>
      </w:r>
      <w:r w:rsidRPr="008F7B91">
        <w:rPr>
          <w:b w:val="0"/>
          <w:color w:val="auto"/>
        </w:rPr>
        <w:t xml:space="preserve">. HelpAge is leading a consortium of agencies developing minimum standards for gender sensitive age and disability programming that, when applied, will significantly contribute to programme quality and effectiveness.  </w:t>
      </w:r>
    </w:p>
    <w:p w:rsidR="008F7B91" w:rsidRPr="005D3607" w:rsidRDefault="008F7B91" w:rsidP="008F7B91">
      <w:pPr>
        <w:pStyle w:val="Heading2"/>
      </w:pPr>
      <w:r w:rsidRPr="005D3607">
        <w:t>Serving the needs of people in conflict</w:t>
      </w:r>
    </w:p>
    <w:p w:rsidR="008F7B91" w:rsidRPr="002F03A7" w:rsidRDefault="008F7B91" w:rsidP="008F7B91">
      <w:pPr>
        <w:rPr>
          <w:rFonts w:cs="Arial"/>
          <w:bCs/>
          <w:kern w:val="50"/>
          <w:szCs w:val="44"/>
          <w:lang w:bidi="en-US"/>
        </w:rPr>
      </w:pPr>
      <w:r w:rsidRPr="002F03A7">
        <w:rPr>
          <w:rFonts w:cs="Arial"/>
          <w:bCs/>
          <w:kern w:val="50"/>
          <w:szCs w:val="44"/>
          <w:lang w:bidi="en-US"/>
        </w:rPr>
        <w:t xml:space="preserve">In armed conflicts, older people face a range of risks: </w:t>
      </w:r>
    </w:p>
    <w:p w:rsidR="008F7B91" w:rsidRDefault="008F7B91" w:rsidP="007A28AA">
      <w:pPr>
        <w:pStyle w:val="ListParagraph"/>
        <w:numPr>
          <w:ilvl w:val="0"/>
          <w:numId w:val="15"/>
        </w:numPr>
        <w:rPr>
          <w:lang w:bidi="en-US"/>
        </w:rPr>
      </w:pPr>
      <w:r w:rsidRPr="007A28AA">
        <w:rPr>
          <w:rFonts w:cs="Arial"/>
          <w:b/>
          <w:bCs/>
          <w:color w:val="E84D30"/>
          <w:kern w:val="50"/>
          <w:szCs w:val="44"/>
          <w:lang w:bidi="en-US"/>
        </w:rPr>
        <w:t>Exclusion and discrimination</w:t>
      </w:r>
      <w:r>
        <w:rPr>
          <w:lang w:bidi="en-US"/>
        </w:rPr>
        <w:t xml:space="preserve"> linked to the impartiality of assistance</w:t>
      </w:r>
    </w:p>
    <w:p w:rsidR="008F7B91" w:rsidRDefault="008F7B91" w:rsidP="007A28AA">
      <w:pPr>
        <w:pStyle w:val="ListParagraph"/>
        <w:numPr>
          <w:ilvl w:val="0"/>
          <w:numId w:val="15"/>
        </w:numPr>
        <w:rPr>
          <w:lang w:bidi="en-US"/>
        </w:rPr>
      </w:pPr>
      <w:r w:rsidRPr="007A28AA">
        <w:rPr>
          <w:rFonts w:cs="Arial"/>
          <w:b/>
          <w:bCs/>
          <w:color w:val="E84D30"/>
          <w:kern w:val="50"/>
          <w:szCs w:val="44"/>
          <w:lang w:bidi="en-US"/>
        </w:rPr>
        <w:t>Erosion of family and traditional support systems</w:t>
      </w:r>
      <w:r>
        <w:rPr>
          <w:lang w:bidi="en-US"/>
        </w:rPr>
        <w:t xml:space="preserve"> on which many older people rely to access services and meet their basic needs</w:t>
      </w:r>
    </w:p>
    <w:p w:rsidR="008F7B91" w:rsidRDefault="008F7B91" w:rsidP="007A28AA">
      <w:pPr>
        <w:pStyle w:val="ListParagraph"/>
        <w:numPr>
          <w:ilvl w:val="0"/>
          <w:numId w:val="15"/>
        </w:numPr>
        <w:rPr>
          <w:lang w:bidi="en-US"/>
        </w:rPr>
      </w:pPr>
      <w:r w:rsidRPr="007A28AA">
        <w:rPr>
          <w:rFonts w:cs="Arial"/>
          <w:b/>
          <w:bCs/>
          <w:color w:val="E84D30"/>
          <w:kern w:val="50"/>
          <w:szCs w:val="44"/>
          <w:lang w:bidi="en-US"/>
        </w:rPr>
        <w:t>Access to information and documentation</w:t>
      </w:r>
      <w:r>
        <w:rPr>
          <w:lang w:bidi="en-US"/>
        </w:rPr>
        <w:t xml:space="preserve"> from which older people are often excluded due to challenges in understanding registration systems or written communications</w:t>
      </w:r>
    </w:p>
    <w:p w:rsidR="008F7B91" w:rsidRDefault="008F7B91" w:rsidP="007A28AA">
      <w:pPr>
        <w:pStyle w:val="ListParagraph"/>
        <w:numPr>
          <w:ilvl w:val="0"/>
          <w:numId w:val="15"/>
        </w:numPr>
        <w:rPr>
          <w:lang w:bidi="en-US"/>
        </w:rPr>
      </w:pPr>
      <w:r w:rsidRPr="007A28AA">
        <w:rPr>
          <w:rFonts w:cs="Arial"/>
          <w:b/>
          <w:bCs/>
          <w:color w:val="E84D30"/>
          <w:kern w:val="50"/>
          <w:szCs w:val="44"/>
          <w:lang w:bidi="en-US"/>
        </w:rPr>
        <w:t>Limited access to basic services,</w:t>
      </w:r>
      <w:r>
        <w:rPr>
          <w:lang w:bidi="en-US"/>
        </w:rPr>
        <w:t xml:space="preserve"> including shelter, food and nutrition, livelihoods and recovery, and health as outlined above</w:t>
      </w:r>
      <w:r>
        <w:rPr>
          <w:rStyle w:val="EndnoteReference"/>
          <w:lang w:bidi="en-US"/>
        </w:rPr>
        <w:endnoteReference w:id="12"/>
      </w:r>
      <w:r>
        <w:rPr>
          <w:lang w:bidi="en-US"/>
        </w:rPr>
        <w:t xml:space="preserve">. </w:t>
      </w:r>
    </w:p>
    <w:p w:rsidR="008F7B91" w:rsidRDefault="008F7B91" w:rsidP="008F7B91">
      <w:pPr>
        <w:rPr>
          <w:lang w:bidi="en-US"/>
        </w:rPr>
      </w:pPr>
      <w:r>
        <w:rPr>
          <w:lang w:bidi="en-US"/>
        </w:rPr>
        <w:t xml:space="preserve">In Darfur in 2004, when huge numbers of people fled to urban centres, numerous older people reportedly arrived in IDP camps alone, having been separated from their families during the journey, or simply having stopped or been abandoned along the route due to physical exhaustion. Those arriving later also risk being excluded from registration and access to assistance. </w:t>
      </w:r>
      <w:r>
        <w:rPr>
          <w:rStyle w:val="EndnoteReference"/>
          <w:lang w:bidi="en-US"/>
        </w:rPr>
        <w:endnoteReference w:id="13"/>
      </w:r>
      <w:r>
        <w:rPr>
          <w:lang w:bidi="en-US"/>
        </w:rPr>
        <w:t xml:space="preserve"> </w:t>
      </w:r>
    </w:p>
    <w:p w:rsidR="008F7B91" w:rsidRDefault="008F7B91" w:rsidP="008F7B91">
      <w:pPr>
        <w:rPr>
          <w:lang w:bidi="en-US"/>
        </w:rPr>
      </w:pPr>
      <w:r>
        <w:rPr>
          <w:lang w:bidi="en-US"/>
        </w:rPr>
        <w:t xml:space="preserve">Older people’s rights are protected in a general sense under existing international human rights treaties, humanitarian law, the Geneva Conventions and 1998 Guiding Principles on Internal Displacement. </w:t>
      </w:r>
    </w:p>
    <w:p w:rsidR="008F7B91" w:rsidRPr="00F43180" w:rsidRDefault="008F7B91" w:rsidP="008F7B91">
      <w:pPr>
        <w:rPr>
          <w:b/>
          <w:lang w:bidi="en-US"/>
        </w:rPr>
      </w:pPr>
      <w:r w:rsidRPr="00F43180">
        <w:rPr>
          <w:b/>
          <w:lang w:bidi="en-US"/>
        </w:rPr>
        <w:t xml:space="preserve">Reaffirmation of these principles and laws must include recognition of their role in identify and protecting the most vulnerable, including older men and women. </w:t>
      </w:r>
    </w:p>
    <w:p w:rsidR="008F7B91" w:rsidRDefault="008F7B91"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7A28AA" w:rsidRDefault="007A28AA" w:rsidP="008F7B91">
      <w:pPr>
        <w:rPr>
          <w:lang w:bidi="en-US"/>
        </w:rPr>
      </w:pPr>
    </w:p>
    <w:p w:rsidR="00C43D38" w:rsidRDefault="008F7B91" w:rsidP="008F7B91">
      <w:pPr>
        <w:rPr>
          <w:lang w:bidi="en-US"/>
        </w:rPr>
      </w:pPr>
      <w:r>
        <w:rPr>
          <w:lang w:bidi="en-US"/>
        </w:rPr>
        <w:t>Copyright © HelpAge International 2015</w:t>
      </w:r>
    </w:p>
    <w:p w:rsidR="00C43D38" w:rsidRDefault="00C43D38" w:rsidP="00C43D38">
      <w:pPr>
        <w:pStyle w:val="Default"/>
        <w:rPr>
          <w:b/>
          <w:bCs/>
          <w:color w:val="E84D2F"/>
          <w:sz w:val="20"/>
          <w:szCs w:val="20"/>
        </w:rPr>
      </w:pPr>
      <w:r>
        <w:rPr>
          <w:b/>
          <w:bCs/>
          <w:color w:val="E84D2F"/>
          <w:sz w:val="20"/>
          <w:szCs w:val="20"/>
        </w:rPr>
        <w:t xml:space="preserve">HelpAge International </w:t>
      </w:r>
    </w:p>
    <w:p w:rsidR="00C43D38" w:rsidRDefault="00C43D38" w:rsidP="00C43D38">
      <w:pPr>
        <w:pStyle w:val="Default"/>
        <w:rPr>
          <w:sz w:val="20"/>
          <w:szCs w:val="20"/>
        </w:rPr>
      </w:pPr>
      <w:r>
        <w:rPr>
          <w:sz w:val="20"/>
          <w:szCs w:val="20"/>
        </w:rPr>
        <w:t xml:space="preserve">PO Box 70156 </w:t>
      </w:r>
    </w:p>
    <w:p w:rsidR="00C43D38" w:rsidRDefault="00C43D38" w:rsidP="00C43D38">
      <w:pPr>
        <w:pStyle w:val="Default"/>
        <w:rPr>
          <w:sz w:val="20"/>
          <w:szCs w:val="20"/>
        </w:rPr>
      </w:pPr>
      <w:r>
        <w:rPr>
          <w:sz w:val="20"/>
          <w:szCs w:val="20"/>
        </w:rPr>
        <w:t xml:space="preserve">London WC1A 9GB, UK </w:t>
      </w:r>
    </w:p>
    <w:p w:rsidR="00C43D38" w:rsidRDefault="00C43D38" w:rsidP="00C43D38">
      <w:pPr>
        <w:pStyle w:val="Default"/>
        <w:rPr>
          <w:sz w:val="20"/>
          <w:szCs w:val="20"/>
        </w:rPr>
      </w:pPr>
      <w:r>
        <w:rPr>
          <w:sz w:val="20"/>
          <w:szCs w:val="20"/>
        </w:rPr>
        <w:t xml:space="preserve">3rd Floor, </w:t>
      </w:r>
      <w:proofErr w:type="spellStart"/>
      <w:r>
        <w:rPr>
          <w:sz w:val="20"/>
          <w:szCs w:val="20"/>
        </w:rPr>
        <w:t>Tavis</w:t>
      </w:r>
      <w:proofErr w:type="spellEnd"/>
      <w:r>
        <w:rPr>
          <w:sz w:val="20"/>
          <w:szCs w:val="20"/>
        </w:rPr>
        <w:t xml:space="preserve"> House </w:t>
      </w:r>
    </w:p>
    <w:p w:rsidR="00C43D38" w:rsidRDefault="00C43D38" w:rsidP="00C43D38">
      <w:pPr>
        <w:pStyle w:val="Default"/>
        <w:rPr>
          <w:sz w:val="20"/>
          <w:szCs w:val="20"/>
        </w:rPr>
      </w:pPr>
      <w:r>
        <w:rPr>
          <w:sz w:val="20"/>
          <w:szCs w:val="20"/>
        </w:rPr>
        <w:t xml:space="preserve">1-6 Tavistock Square </w:t>
      </w:r>
    </w:p>
    <w:p w:rsidR="00C43D38" w:rsidRDefault="00C43D38" w:rsidP="00C43D38">
      <w:pPr>
        <w:pStyle w:val="Default"/>
        <w:rPr>
          <w:sz w:val="20"/>
          <w:szCs w:val="20"/>
        </w:rPr>
      </w:pPr>
      <w:r>
        <w:rPr>
          <w:sz w:val="20"/>
          <w:szCs w:val="20"/>
        </w:rPr>
        <w:t xml:space="preserve">London WC1H 9NA, UK </w:t>
      </w:r>
    </w:p>
    <w:p w:rsidR="00C43D38" w:rsidRDefault="00C43D38" w:rsidP="00C43D38">
      <w:pPr>
        <w:rPr>
          <w:color w:val="0000FF"/>
          <w:szCs w:val="20"/>
        </w:rPr>
      </w:pPr>
      <w:hyperlink r:id="rId12" w:history="1">
        <w:r w:rsidRPr="006C3867">
          <w:rPr>
            <w:rStyle w:val="Hyperlink"/>
            <w:szCs w:val="20"/>
          </w:rPr>
          <w:t>info@helpage.org</w:t>
        </w:r>
      </w:hyperlink>
      <w:r>
        <w:rPr>
          <w:color w:val="0000FF"/>
          <w:szCs w:val="20"/>
        </w:rPr>
        <w:t xml:space="preserve"> </w:t>
      </w:r>
    </w:p>
    <w:p w:rsidR="00C43D38" w:rsidRPr="00C43D38" w:rsidRDefault="00C43D38" w:rsidP="00C43D38">
      <w:pPr>
        <w:rPr>
          <w:color w:val="0000FF"/>
          <w:szCs w:val="20"/>
        </w:rPr>
      </w:pPr>
      <w:hyperlink r:id="rId13" w:history="1">
        <w:r w:rsidRPr="006C3867">
          <w:rPr>
            <w:rStyle w:val="Hyperlink"/>
            <w:szCs w:val="20"/>
          </w:rPr>
          <w:t>www.helpage.org</w:t>
        </w:r>
      </w:hyperlink>
      <w:bookmarkStart w:id="0" w:name="_GoBack"/>
      <w:bookmarkEnd w:id="0"/>
    </w:p>
    <w:sectPr w:rsidR="00C43D38" w:rsidRPr="00C43D38" w:rsidSect="00680179">
      <w:headerReference w:type="even" r:id="rId14"/>
      <w:pgSz w:w="11906" w:h="16838" w:code="9"/>
      <w:pgMar w:top="851" w:right="851" w:bottom="124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3D" w:rsidRDefault="0010633D">
      <w:r>
        <w:separator/>
      </w:r>
    </w:p>
    <w:p w:rsidR="0010633D" w:rsidRDefault="0010633D"/>
  </w:endnote>
  <w:endnote w:type="continuationSeparator" w:id="0">
    <w:p w:rsidR="0010633D" w:rsidRDefault="0010633D">
      <w:r>
        <w:continuationSeparator/>
      </w:r>
    </w:p>
    <w:p w:rsidR="0010633D" w:rsidRDefault="0010633D"/>
  </w:endnote>
  <w:endnote w:id="1">
    <w:p w:rsidR="008F7B91" w:rsidRPr="007A28AA" w:rsidRDefault="008F7B91" w:rsidP="008F7B91">
      <w:pPr>
        <w:pStyle w:val="EndnoteText"/>
        <w:rPr>
          <w:rFonts w:ascii="Verdana" w:hAnsi="Verdana"/>
          <w:sz w:val="16"/>
          <w:szCs w:val="16"/>
        </w:rPr>
      </w:pPr>
      <w:r w:rsidRPr="007A28AA">
        <w:rPr>
          <w:rStyle w:val="EndnoteReference"/>
          <w:rFonts w:ascii="Verdana" w:hAnsi="Verdana"/>
          <w:sz w:val="16"/>
          <w:szCs w:val="16"/>
        </w:rPr>
        <w:endnoteRef/>
      </w:r>
      <w:r w:rsidRPr="007A28AA">
        <w:rPr>
          <w:rFonts w:ascii="Verdana" w:hAnsi="Verdana"/>
          <w:sz w:val="16"/>
          <w:szCs w:val="16"/>
        </w:rPr>
        <w:t xml:space="preserve"> </w:t>
      </w:r>
      <w:r w:rsidRPr="007A28AA">
        <w:rPr>
          <w:rFonts w:ascii="Verdana" w:eastAsiaTheme="minorHAnsi" w:hAnsi="Verdana"/>
          <w:sz w:val="16"/>
          <w:szCs w:val="16"/>
        </w:rPr>
        <w:t xml:space="preserve">UNDESA Population Division, </w:t>
      </w:r>
      <w:r w:rsidRPr="007A28AA">
        <w:rPr>
          <w:rFonts w:ascii="Verdana" w:eastAsiaTheme="minorHAnsi" w:hAnsi="Verdana"/>
          <w:i/>
          <w:sz w:val="16"/>
          <w:szCs w:val="16"/>
        </w:rPr>
        <w:t>World population prospects: the 2012 revision</w:t>
      </w:r>
      <w:r w:rsidRPr="007A28AA">
        <w:rPr>
          <w:rFonts w:ascii="Verdana" w:eastAsiaTheme="minorHAnsi" w:hAnsi="Verdana"/>
          <w:sz w:val="16"/>
          <w:szCs w:val="16"/>
        </w:rPr>
        <w:t>, DVD edition, 2013</w:t>
      </w:r>
    </w:p>
  </w:endnote>
  <w:endnote w:id="2">
    <w:p w:rsidR="008F7B91" w:rsidRPr="007A28AA" w:rsidRDefault="008F7B91" w:rsidP="008F7B91">
      <w:pPr>
        <w:pStyle w:val="EndnoteText"/>
        <w:rPr>
          <w:rFonts w:ascii="Verdana" w:hAnsi="Verdana"/>
          <w:sz w:val="16"/>
          <w:szCs w:val="16"/>
        </w:rPr>
      </w:pPr>
      <w:r w:rsidRPr="007A28AA">
        <w:rPr>
          <w:rStyle w:val="EndnoteReference"/>
          <w:rFonts w:ascii="Verdana" w:hAnsi="Verdana"/>
          <w:sz w:val="16"/>
          <w:szCs w:val="16"/>
        </w:rPr>
        <w:endnoteRef/>
      </w:r>
      <w:r w:rsidRPr="007A28AA">
        <w:rPr>
          <w:rFonts w:ascii="Verdana" w:hAnsi="Verdana"/>
          <w:sz w:val="16"/>
          <w:szCs w:val="16"/>
        </w:rPr>
        <w:t xml:space="preserve"> </w:t>
      </w:r>
      <w:r w:rsidRPr="007A28AA">
        <w:rPr>
          <w:rFonts w:ascii="Verdana" w:eastAsiaTheme="minorHAnsi" w:hAnsi="Verdana"/>
          <w:sz w:val="16"/>
          <w:szCs w:val="16"/>
        </w:rPr>
        <w:t xml:space="preserve">UNDESA Population Division, </w:t>
      </w:r>
      <w:r w:rsidRPr="007A28AA">
        <w:rPr>
          <w:rFonts w:ascii="Verdana" w:eastAsiaTheme="minorHAnsi" w:hAnsi="Verdana"/>
          <w:i/>
          <w:sz w:val="16"/>
          <w:szCs w:val="16"/>
        </w:rPr>
        <w:t>World population prospects</w:t>
      </w:r>
    </w:p>
  </w:endnote>
  <w:endnote w:id="3">
    <w:p w:rsidR="008F7B91" w:rsidRPr="007A28AA" w:rsidRDefault="008F7B91" w:rsidP="008F7B91">
      <w:pPr>
        <w:pStyle w:val="EndnoteText"/>
        <w:rPr>
          <w:rFonts w:ascii="Verdana" w:hAnsi="Verdana"/>
          <w:sz w:val="16"/>
          <w:szCs w:val="16"/>
        </w:rPr>
      </w:pPr>
      <w:r w:rsidRPr="007A28AA">
        <w:rPr>
          <w:rStyle w:val="EndnoteReference"/>
          <w:rFonts w:ascii="Verdana" w:hAnsi="Verdana"/>
          <w:sz w:val="16"/>
          <w:szCs w:val="16"/>
        </w:rPr>
        <w:endnoteRef/>
      </w:r>
      <w:r w:rsidRPr="007A28AA">
        <w:rPr>
          <w:rFonts w:ascii="Verdana" w:hAnsi="Verdana"/>
          <w:sz w:val="16"/>
          <w:szCs w:val="16"/>
        </w:rPr>
        <w:t xml:space="preserve"> </w:t>
      </w:r>
      <w:r w:rsidRPr="007A28AA">
        <w:rPr>
          <w:rFonts w:ascii="Verdana" w:eastAsiaTheme="minorHAnsi" w:hAnsi="Verdana"/>
          <w:sz w:val="16"/>
          <w:szCs w:val="16"/>
        </w:rPr>
        <w:t xml:space="preserve">UNDESA Population Division, </w:t>
      </w:r>
      <w:r w:rsidRPr="007A28AA">
        <w:rPr>
          <w:rFonts w:ascii="Verdana" w:eastAsiaTheme="minorHAnsi" w:hAnsi="Verdana"/>
          <w:i/>
          <w:sz w:val="16"/>
          <w:szCs w:val="16"/>
        </w:rPr>
        <w:t>World population prospects</w:t>
      </w:r>
    </w:p>
  </w:endnote>
  <w:endnote w:id="4">
    <w:p w:rsidR="008F7B91" w:rsidRPr="007A28AA" w:rsidRDefault="008F7B91" w:rsidP="008F7B91">
      <w:pPr>
        <w:pStyle w:val="EndnoteText"/>
        <w:rPr>
          <w:rFonts w:ascii="Verdana" w:hAnsi="Verdana"/>
          <w:sz w:val="16"/>
          <w:szCs w:val="16"/>
        </w:rPr>
      </w:pPr>
      <w:r w:rsidRPr="007A28AA">
        <w:rPr>
          <w:rStyle w:val="EndnoteReference"/>
          <w:rFonts w:ascii="Verdana" w:hAnsi="Verdana"/>
          <w:sz w:val="16"/>
          <w:szCs w:val="16"/>
        </w:rPr>
        <w:endnoteRef/>
      </w:r>
      <w:r w:rsidRPr="007A28AA">
        <w:rPr>
          <w:rFonts w:ascii="Verdana" w:hAnsi="Verdana"/>
          <w:sz w:val="16"/>
          <w:szCs w:val="16"/>
        </w:rPr>
        <w:t xml:space="preserve"> </w:t>
      </w:r>
      <w:r w:rsidRPr="007A28AA">
        <w:rPr>
          <w:rFonts w:ascii="Verdana" w:eastAsiaTheme="minorHAnsi" w:hAnsi="Verdana"/>
          <w:sz w:val="16"/>
          <w:szCs w:val="16"/>
        </w:rPr>
        <w:t>UNDESA Population Division,</w:t>
      </w:r>
      <w:r w:rsidRPr="007A28AA">
        <w:rPr>
          <w:rFonts w:ascii="Verdana" w:eastAsiaTheme="minorHAnsi" w:hAnsi="Verdana"/>
          <w:i/>
          <w:sz w:val="16"/>
          <w:szCs w:val="16"/>
        </w:rPr>
        <w:t xml:space="preserve"> World population prospects</w:t>
      </w:r>
    </w:p>
  </w:endnote>
  <w:endnote w:id="5">
    <w:p w:rsidR="008F7B91" w:rsidRPr="007A28AA" w:rsidRDefault="008F7B91" w:rsidP="008F7B91">
      <w:pPr>
        <w:rPr>
          <w:i/>
          <w:sz w:val="16"/>
          <w:szCs w:val="16"/>
        </w:rPr>
      </w:pPr>
      <w:r w:rsidRPr="007A28AA">
        <w:rPr>
          <w:rStyle w:val="EndnoteReference"/>
          <w:sz w:val="16"/>
          <w:szCs w:val="16"/>
        </w:rPr>
        <w:endnoteRef/>
      </w:r>
      <w:r w:rsidRPr="007A28AA">
        <w:rPr>
          <w:sz w:val="16"/>
          <w:szCs w:val="16"/>
        </w:rPr>
        <w:t xml:space="preserve">. HelpAge International and Handicap International, </w:t>
      </w:r>
      <w:r w:rsidRPr="007A28AA">
        <w:rPr>
          <w:i/>
          <w:sz w:val="16"/>
          <w:szCs w:val="16"/>
        </w:rPr>
        <w:t>Hidden victims of the Syria crisis: disabled, injured and older refugees, 2014</w:t>
      </w:r>
    </w:p>
  </w:endnote>
  <w:endnote w:id="6">
    <w:p w:rsidR="008F7B91" w:rsidRPr="007A28AA" w:rsidRDefault="008F7B91" w:rsidP="008F7B91">
      <w:pPr>
        <w:rPr>
          <w:sz w:val="16"/>
          <w:szCs w:val="16"/>
        </w:rPr>
      </w:pPr>
      <w:r w:rsidRPr="007A28AA">
        <w:rPr>
          <w:rStyle w:val="EndnoteReference"/>
          <w:sz w:val="16"/>
          <w:szCs w:val="16"/>
        </w:rPr>
        <w:endnoteRef/>
      </w:r>
      <w:r w:rsidRPr="007A28AA">
        <w:rPr>
          <w:sz w:val="16"/>
          <w:szCs w:val="16"/>
        </w:rPr>
        <w:t>. Humanitarian crisis grows, www.msf.ca/en/article/humanitarian-crisis-grows (25 February 2015)</w:t>
      </w:r>
    </w:p>
  </w:endnote>
  <w:endnote w:id="7">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Fritsch P, </w:t>
      </w:r>
      <w:r w:rsidRPr="007A28AA">
        <w:rPr>
          <w:i/>
          <w:sz w:val="16"/>
          <w:szCs w:val="16"/>
        </w:rPr>
        <w:t xml:space="preserve">Nutrition and baseline survey of older people in three refugee camps in </w:t>
      </w:r>
      <w:proofErr w:type="spellStart"/>
      <w:r w:rsidRPr="007A28AA">
        <w:rPr>
          <w:i/>
          <w:sz w:val="16"/>
          <w:szCs w:val="16"/>
        </w:rPr>
        <w:t>Dadaab</w:t>
      </w:r>
      <w:proofErr w:type="spellEnd"/>
      <w:r w:rsidRPr="007A28AA">
        <w:rPr>
          <w:i/>
          <w:sz w:val="16"/>
          <w:szCs w:val="16"/>
        </w:rPr>
        <w:t>, October 2011</w:t>
      </w:r>
      <w:r w:rsidRPr="007A28AA">
        <w:rPr>
          <w:sz w:val="16"/>
          <w:szCs w:val="16"/>
        </w:rPr>
        <w:t>, HelpAge International, 2011</w:t>
      </w:r>
    </w:p>
  </w:endnote>
  <w:endnote w:id="8">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Fritsch P, </w:t>
      </w:r>
      <w:r w:rsidRPr="007A28AA">
        <w:rPr>
          <w:i/>
          <w:sz w:val="16"/>
          <w:szCs w:val="16"/>
        </w:rPr>
        <w:t xml:space="preserve">Nutrition and baseline survey of older people in </w:t>
      </w:r>
      <w:proofErr w:type="spellStart"/>
      <w:r w:rsidRPr="007A28AA">
        <w:rPr>
          <w:i/>
          <w:sz w:val="16"/>
          <w:szCs w:val="16"/>
        </w:rPr>
        <w:t>Haraze</w:t>
      </w:r>
      <w:proofErr w:type="spellEnd"/>
      <w:r w:rsidRPr="007A28AA">
        <w:rPr>
          <w:i/>
          <w:sz w:val="16"/>
          <w:szCs w:val="16"/>
        </w:rPr>
        <w:t xml:space="preserve"> </w:t>
      </w:r>
      <w:proofErr w:type="spellStart"/>
      <w:r w:rsidRPr="007A28AA">
        <w:rPr>
          <w:i/>
          <w:sz w:val="16"/>
          <w:szCs w:val="16"/>
        </w:rPr>
        <w:t>Albiar</w:t>
      </w:r>
      <w:proofErr w:type="spellEnd"/>
      <w:r w:rsidRPr="007A28AA">
        <w:rPr>
          <w:i/>
          <w:sz w:val="16"/>
          <w:szCs w:val="16"/>
        </w:rPr>
        <w:t>, Chad, June 2012,</w:t>
      </w:r>
      <w:r w:rsidRPr="007A28AA">
        <w:rPr>
          <w:sz w:val="16"/>
          <w:szCs w:val="16"/>
        </w:rPr>
        <w:t xml:space="preserve"> HelpAge International, 2012</w:t>
      </w:r>
    </w:p>
  </w:endnote>
  <w:endnote w:id="9">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Fritsch P, </w:t>
      </w:r>
      <w:r w:rsidRPr="007A28AA">
        <w:rPr>
          <w:i/>
          <w:sz w:val="16"/>
          <w:szCs w:val="16"/>
        </w:rPr>
        <w:t xml:space="preserve">Needs assessment survey of older people in </w:t>
      </w:r>
      <w:proofErr w:type="spellStart"/>
      <w:r w:rsidRPr="007A28AA">
        <w:rPr>
          <w:i/>
          <w:sz w:val="16"/>
          <w:szCs w:val="16"/>
        </w:rPr>
        <w:t>Kolfe</w:t>
      </w:r>
      <w:proofErr w:type="spellEnd"/>
      <w:r w:rsidRPr="007A28AA">
        <w:rPr>
          <w:i/>
          <w:sz w:val="16"/>
          <w:szCs w:val="16"/>
        </w:rPr>
        <w:t xml:space="preserve"> </w:t>
      </w:r>
      <w:proofErr w:type="spellStart"/>
      <w:r w:rsidRPr="007A28AA">
        <w:rPr>
          <w:i/>
          <w:sz w:val="16"/>
          <w:szCs w:val="16"/>
        </w:rPr>
        <w:t>Keranyio</w:t>
      </w:r>
      <w:proofErr w:type="spellEnd"/>
      <w:r w:rsidRPr="007A28AA">
        <w:rPr>
          <w:i/>
          <w:sz w:val="16"/>
          <w:szCs w:val="16"/>
        </w:rPr>
        <w:t>, Addis Ababa, February 2014</w:t>
      </w:r>
      <w:r w:rsidRPr="007A28AA">
        <w:rPr>
          <w:sz w:val="16"/>
          <w:szCs w:val="16"/>
        </w:rPr>
        <w:t>, HelpAge International, 2014</w:t>
      </w:r>
    </w:p>
  </w:endnote>
  <w:endnote w:id="10">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HelpAge International and Handicap International, </w:t>
      </w:r>
      <w:r w:rsidRPr="007A28AA">
        <w:rPr>
          <w:i/>
          <w:sz w:val="16"/>
          <w:szCs w:val="16"/>
        </w:rPr>
        <w:t>A study of humanitarian financing for older people and people with disability, 2010-2011</w:t>
      </w:r>
      <w:r w:rsidRPr="007A28AA">
        <w:rPr>
          <w:sz w:val="16"/>
          <w:szCs w:val="16"/>
        </w:rPr>
        <w:t xml:space="preserve">, 2012 </w:t>
      </w:r>
    </w:p>
  </w:endnote>
  <w:endnote w:id="11">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Delgado A, Skinner M and </w:t>
      </w:r>
      <w:proofErr w:type="spellStart"/>
      <w:r w:rsidRPr="007A28AA">
        <w:rPr>
          <w:sz w:val="16"/>
          <w:szCs w:val="16"/>
        </w:rPr>
        <w:t>Calvi</w:t>
      </w:r>
      <w:proofErr w:type="spellEnd"/>
      <w:r w:rsidRPr="007A28AA">
        <w:rPr>
          <w:sz w:val="16"/>
          <w:szCs w:val="16"/>
        </w:rPr>
        <w:t xml:space="preserve"> P, </w:t>
      </w:r>
      <w:r w:rsidRPr="007A28AA">
        <w:rPr>
          <w:i/>
          <w:sz w:val="16"/>
          <w:szCs w:val="16"/>
        </w:rPr>
        <w:t>Disasters and diversity: humanitarian financing for older people and children under five</w:t>
      </w:r>
      <w:r w:rsidRPr="007A28AA">
        <w:rPr>
          <w:sz w:val="16"/>
          <w:szCs w:val="16"/>
        </w:rPr>
        <w:t>, HelpAge International, 2013</w:t>
      </w:r>
    </w:p>
    <w:p w:rsidR="008F7B91" w:rsidRPr="007A28AA" w:rsidRDefault="008F7B91" w:rsidP="008F7B91">
      <w:pPr>
        <w:rPr>
          <w:rFonts w:eastAsiaTheme="minorHAnsi" w:cs="Calibri"/>
          <w:kern w:val="0"/>
          <w:sz w:val="16"/>
          <w:szCs w:val="16"/>
          <w:lang w:eastAsia="en-GB"/>
        </w:rPr>
      </w:pPr>
      <w:r w:rsidRPr="007A28AA">
        <w:rPr>
          <w:rStyle w:val="EndnoteReference"/>
          <w:sz w:val="16"/>
          <w:szCs w:val="16"/>
        </w:rPr>
        <w:endnoteRef/>
      </w:r>
      <w:r w:rsidRPr="007A28AA">
        <w:rPr>
          <w:rFonts w:eastAsiaTheme="minorHAnsi" w:cs="Calibri"/>
          <w:kern w:val="0"/>
          <w:sz w:val="16"/>
          <w:szCs w:val="16"/>
          <w:lang w:eastAsia="en-GB"/>
        </w:rPr>
        <w:t xml:space="preserve"> Wells J, </w:t>
      </w:r>
      <w:r w:rsidRPr="007A28AA">
        <w:rPr>
          <w:rFonts w:eastAsiaTheme="minorHAnsi" w:cs="Calibri"/>
          <w:i/>
          <w:kern w:val="0"/>
          <w:sz w:val="16"/>
          <w:szCs w:val="16"/>
          <w:lang w:eastAsia="en-GB"/>
        </w:rPr>
        <w:t>The neglected generation: the impact of internal displacement on older people</w:t>
      </w:r>
      <w:r w:rsidRPr="007A28AA">
        <w:rPr>
          <w:rFonts w:eastAsiaTheme="minorHAnsi" w:cs="Calibri"/>
          <w:kern w:val="0"/>
          <w:sz w:val="16"/>
          <w:szCs w:val="16"/>
          <w:lang w:eastAsia="en-GB"/>
        </w:rPr>
        <w:t>, HelpAge International, 2012, pp. 20-32</w:t>
      </w:r>
    </w:p>
    <w:p w:rsidR="008F7B91" w:rsidRPr="007A28AA" w:rsidRDefault="008F7B91" w:rsidP="008F7B91">
      <w:pPr>
        <w:rPr>
          <w:sz w:val="16"/>
          <w:szCs w:val="16"/>
        </w:rPr>
      </w:pPr>
      <w:r w:rsidRPr="007A28AA">
        <w:rPr>
          <w:rStyle w:val="EndnoteReference"/>
          <w:sz w:val="16"/>
          <w:szCs w:val="16"/>
        </w:rPr>
        <w:endnoteRef/>
      </w:r>
      <w:r w:rsidRPr="007A28AA">
        <w:rPr>
          <w:sz w:val="16"/>
          <w:szCs w:val="16"/>
        </w:rPr>
        <w:t xml:space="preserve"> </w:t>
      </w:r>
      <w:r w:rsidRPr="007A28AA">
        <w:rPr>
          <w:rFonts w:eastAsiaTheme="minorHAnsi" w:cs="Calibri"/>
          <w:kern w:val="0"/>
          <w:sz w:val="16"/>
          <w:szCs w:val="16"/>
          <w:lang w:eastAsia="en-GB"/>
        </w:rPr>
        <w:t xml:space="preserve">Wells J, </w:t>
      </w:r>
      <w:r w:rsidRPr="007A28AA">
        <w:rPr>
          <w:rFonts w:eastAsiaTheme="minorHAnsi" w:cs="Calibri"/>
          <w:i/>
          <w:kern w:val="0"/>
          <w:sz w:val="16"/>
          <w:szCs w:val="16"/>
          <w:lang w:eastAsia="en-GB"/>
        </w:rPr>
        <w:t>The neglected generation</w:t>
      </w:r>
      <w:r w:rsidRPr="007A28AA">
        <w:rPr>
          <w:rFonts w:eastAsiaTheme="minorHAnsi" w:cs="Calibri"/>
          <w:kern w:val="0"/>
          <w:sz w:val="16"/>
          <w:szCs w:val="16"/>
          <w:lang w:eastAsia="en-GB"/>
        </w:rPr>
        <w:t>, p. 19</w:t>
      </w:r>
    </w:p>
    <w:p w:rsidR="008F7B91" w:rsidRDefault="008F7B91" w:rsidP="008F7B91">
      <w:pPr>
        <w:rPr>
          <w:sz w:val="18"/>
          <w:szCs w:val="18"/>
        </w:rPr>
      </w:pPr>
    </w:p>
    <w:p w:rsidR="008F7B91" w:rsidRPr="0050344F" w:rsidRDefault="008F7B91" w:rsidP="008F7B91">
      <w:pPr>
        <w:rPr>
          <w:sz w:val="18"/>
          <w:szCs w:val="18"/>
        </w:rPr>
      </w:pPr>
    </w:p>
  </w:endnote>
  <w:endnote w:id="12">
    <w:p w:rsidR="008F7B91" w:rsidRDefault="008F7B91" w:rsidP="008F7B91">
      <w:pPr>
        <w:pStyle w:val="EndnoteText"/>
      </w:pPr>
    </w:p>
  </w:endnote>
  <w:endnote w:id="13">
    <w:p w:rsidR="008F7B91" w:rsidRDefault="008F7B91" w:rsidP="008F7B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55 Roman">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x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79" w:rsidRPr="001273B7" w:rsidRDefault="00680179" w:rsidP="00680179">
    <w:pPr>
      <w:jc w:val="right"/>
      <w:rPr>
        <w:sz w:val="16"/>
      </w:rPr>
    </w:pPr>
    <w:r w:rsidRPr="001273B7">
      <w:rPr>
        <w:sz w:val="16"/>
      </w:rPr>
      <w:t xml:space="preserve">HelpAge International | Page </w:t>
    </w:r>
    <w:r w:rsidRPr="001273B7">
      <w:rPr>
        <w:sz w:val="16"/>
      </w:rPr>
      <w:fldChar w:fldCharType="begin"/>
    </w:r>
    <w:r w:rsidRPr="001273B7">
      <w:rPr>
        <w:sz w:val="16"/>
      </w:rPr>
      <w:instrText xml:space="preserve"> PAGE </w:instrText>
    </w:r>
    <w:r w:rsidRPr="001273B7">
      <w:rPr>
        <w:sz w:val="16"/>
      </w:rPr>
      <w:fldChar w:fldCharType="separate"/>
    </w:r>
    <w:r w:rsidR="00F73549">
      <w:rPr>
        <w:noProof/>
        <w:sz w:val="16"/>
      </w:rPr>
      <w:t>2</w:t>
    </w:r>
    <w:r w:rsidRPr="001273B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3D" w:rsidRDefault="0010633D">
      <w:r>
        <w:separator/>
      </w:r>
    </w:p>
    <w:p w:rsidR="0010633D" w:rsidRDefault="0010633D"/>
  </w:footnote>
  <w:footnote w:type="continuationSeparator" w:id="0">
    <w:p w:rsidR="0010633D" w:rsidRDefault="0010633D">
      <w:r>
        <w:continuationSeparator/>
      </w:r>
    </w:p>
    <w:p w:rsidR="0010633D" w:rsidRDefault="001063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79" w:rsidRDefault="00B57F7F">
    <w:pPr>
      <w:pStyle w:val="Header"/>
    </w:pPr>
    <w:r>
      <w:rPr>
        <w:noProof/>
        <w:szCs w:val="20"/>
        <w:lang w:eastAsia="en-GB"/>
      </w:rPr>
      <w:drawing>
        <wp:anchor distT="0" distB="0" distL="114300" distR="114300" simplePos="0" relativeHeight="251657216" behindDoc="0" locked="0" layoutInCell="1" allowOverlap="1">
          <wp:simplePos x="0" y="0"/>
          <wp:positionH relativeFrom="page">
            <wp:posOffset>5609590</wp:posOffset>
          </wp:positionH>
          <wp:positionV relativeFrom="page">
            <wp:posOffset>431800</wp:posOffset>
          </wp:positionV>
          <wp:extent cx="1435100" cy="787400"/>
          <wp:effectExtent l="0" t="0" r="0" b="0"/>
          <wp:wrapNone/>
          <wp:docPr id="36" name="Picture 36"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I-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79" w:rsidRDefault="006801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34D9"/>
    <w:multiLevelType w:val="hybridMultilevel"/>
    <w:tmpl w:val="15BE979C"/>
    <w:lvl w:ilvl="0" w:tplc="8DDCDDC0">
      <w:start w:val="1"/>
      <w:numFmt w:val="decimal"/>
      <w:pStyle w:val="04NumberedList"/>
      <w:lvlText w:val="%1."/>
      <w:lvlJc w:val="left"/>
      <w:pPr>
        <w:tabs>
          <w:tab w:val="num" w:pos="-113"/>
        </w:tabs>
        <w:ind w:left="-113" w:firstLine="113"/>
      </w:pPr>
      <w:rPr>
        <w:rFonts w:ascii="Verdana" w:hAnsi="Verdana" w:hint="default"/>
        <w:b/>
        <w:i w:val="0"/>
        <w:color w:val="E84D3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0526ABE"/>
    <w:multiLevelType w:val="multilevel"/>
    <w:tmpl w:val="76F6351A"/>
    <w:lvl w:ilvl="0">
      <w:start w:val="1"/>
      <w:numFmt w:val="bullet"/>
      <w:lvlText w:val=""/>
      <w:lvlJc w:val="left"/>
      <w:pPr>
        <w:tabs>
          <w:tab w:val="num" w:pos="340"/>
        </w:tabs>
        <w:ind w:left="340" w:hanging="340"/>
      </w:pPr>
      <w:rPr>
        <w:rFonts w:ascii="Symbol" w:hAnsi="Symbol" w:hint="default"/>
        <w:color w:val="00CCFF"/>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A519A3"/>
    <w:multiLevelType w:val="multilevel"/>
    <w:tmpl w:val="D77C3402"/>
    <w:lvl w:ilvl="0">
      <w:start w:val="1"/>
      <w:numFmt w:val="bullet"/>
      <w:lvlText w:val=""/>
      <w:lvlJc w:val="left"/>
      <w:pPr>
        <w:tabs>
          <w:tab w:val="num" w:pos="340"/>
        </w:tabs>
        <w:ind w:left="340" w:hanging="340"/>
      </w:pPr>
      <w:rPr>
        <w:rFonts w:ascii="Symbol" w:hAnsi="Symbol" w:hint="default"/>
        <w:color w:val="E84D3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417ED0"/>
    <w:multiLevelType w:val="hybridMultilevel"/>
    <w:tmpl w:val="22E2AF38"/>
    <w:lvl w:ilvl="0" w:tplc="7778B6B0">
      <w:start w:val="1"/>
      <w:numFmt w:val="bullet"/>
      <w:lvlText w:val=""/>
      <w:lvlJc w:val="left"/>
      <w:pPr>
        <w:ind w:left="720" w:hanging="360"/>
      </w:pPr>
      <w:rPr>
        <w:rFonts w:ascii="Symbol" w:hAnsi="Symbol" w:hint="default"/>
        <w:color w:val="F258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646BD"/>
    <w:multiLevelType w:val="hybridMultilevel"/>
    <w:tmpl w:val="EB941ECC"/>
    <w:lvl w:ilvl="0" w:tplc="7778B6B0">
      <w:start w:val="1"/>
      <w:numFmt w:val="bullet"/>
      <w:lvlText w:val=""/>
      <w:lvlJc w:val="left"/>
      <w:pPr>
        <w:ind w:left="720" w:hanging="360"/>
      </w:pPr>
      <w:rPr>
        <w:rFonts w:ascii="Symbol" w:hAnsi="Symbol" w:hint="default"/>
        <w:color w:val="F258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B290F"/>
    <w:multiLevelType w:val="hybridMultilevel"/>
    <w:tmpl w:val="C978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E7FF3"/>
    <w:multiLevelType w:val="hybridMultilevel"/>
    <w:tmpl w:val="C7045CC2"/>
    <w:lvl w:ilvl="0" w:tplc="0E101092">
      <w:start w:val="1"/>
      <w:numFmt w:val="decimal"/>
      <w:lvlText w:val="%1."/>
      <w:lvlJc w:val="left"/>
      <w:pPr>
        <w:tabs>
          <w:tab w:val="num" w:pos="-113"/>
        </w:tabs>
        <w:ind w:left="-113" w:firstLine="113"/>
      </w:pPr>
      <w:rPr>
        <w:rFonts w:ascii="Verdana" w:hAnsi="Verdana" w:hint="default"/>
        <w:b/>
        <w:i w:val="0"/>
        <w:color w:val="E84D3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B220F8"/>
    <w:multiLevelType w:val="hybridMultilevel"/>
    <w:tmpl w:val="DDC0BEEA"/>
    <w:lvl w:ilvl="0" w:tplc="7778B6B0">
      <w:start w:val="1"/>
      <w:numFmt w:val="bullet"/>
      <w:lvlText w:val=""/>
      <w:lvlJc w:val="left"/>
      <w:pPr>
        <w:ind w:left="360" w:hanging="360"/>
      </w:pPr>
      <w:rPr>
        <w:rFonts w:ascii="Symbol" w:hAnsi="Symbol" w:hint="default"/>
        <w:color w:val="F25821"/>
      </w:rPr>
    </w:lvl>
    <w:lvl w:ilvl="1" w:tplc="08090003">
      <w:start w:val="1"/>
      <w:numFmt w:val="bullet"/>
      <w:lvlText w:val="o"/>
      <w:lvlJc w:val="left"/>
      <w:pPr>
        <w:ind w:left="1080" w:hanging="360"/>
      </w:pPr>
      <w:rPr>
        <w:rFonts w:ascii="Courier New" w:hAnsi="Courier New" w:cs="Courier New" w:hint="default"/>
      </w:rPr>
    </w:lvl>
    <w:lvl w:ilvl="2" w:tplc="8908A386">
      <w:numFmt w:val="bullet"/>
      <w:lvlText w:val="•"/>
      <w:lvlJc w:val="left"/>
      <w:pPr>
        <w:ind w:left="1800" w:hanging="360"/>
      </w:pPr>
      <w:rPr>
        <w:rFonts w:ascii="Verdana" w:eastAsia="Times New Roman" w:hAnsi="Verdana"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684712"/>
    <w:multiLevelType w:val="hybridMultilevel"/>
    <w:tmpl w:val="5902F8B2"/>
    <w:lvl w:ilvl="0" w:tplc="E0325F6A">
      <w:start w:val="1"/>
      <w:numFmt w:val="bullet"/>
      <w:pStyle w:val="03Bullet"/>
      <w:lvlText w:val=""/>
      <w:lvlJc w:val="left"/>
      <w:pPr>
        <w:tabs>
          <w:tab w:val="num" w:pos="227"/>
        </w:tabs>
        <w:ind w:left="227" w:hanging="227"/>
      </w:pPr>
      <w:rPr>
        <w:rFonts w:ascii="Symbol" w:hAnsi="Symbol" w:hint="default"/>
        <w:color w:val="E84D3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6104E83"/>
    <w:multiLevelType w:val="multilevel"/>
    <w:tmpl w:val="5902F8B2"/>
    <w:lvl w:ilvl="0">
      <w:start w:val="1"/>
      <w:numFmt w:val="bullet"/>
      <w:lvlText w:val=""/>
      <w:lvlJc w:val="left"/>
      <w:pPr>
        <w:tabs>
          <w:tab w:val="num" w:pos="227"/>
        </w:tabs>
        <w:ind w:left="227" w:hanging="227"/>
      </w:pPr>
      <w:rPr>
        <w:rFonts w:ascii="Symbol" w:hAnsi="Symbol" w:hint="default"/>
        <w:color w:val="E84D3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7CF394F"/>
    <w:multiLevelType w:val="hybridMultilevel"/>
    <w:tmpl w:val="779E8E16"/>
    <w:lvl w:ilvl="0" w:tplc="7778B6B0">
      <w:start w:val="1"/>
      <w:numFmt w:val="bullet"/>
      <w:lvlText w:val=""/>
      <w:lvlJc w:val="left"/>
      <w:pPr>
        <w:ind w:left="360" w:hanging="360"/>
      </w:pPr>
      <w:rPr>
        <w:rFonts w:ascii="Symbol" w:hAnsi="Symbol" w:hint="default"/>
        <w:color w:val="F25821"/>
      </w:rPr>
    </w:lvl>
    <w:lvl w:ilvl="1" w:tplc="08090003">
      <w:start w:val="1"/>
      <w:numFmt w:val="bullet"/>
      <w:lvlText w:val="o"/>
      <w:lvlJc w:val="left"/>
      <w:pPr>
        <w:ind w:left="1080" w:hanging="360"/>
      </w:pPr>
      <w:rPr>
        <w:rFonts w:ascii="Courier New" w:hAnsi="Courier New" w:cs="Courier New" w:hint="default"/>
      </w:rPr>
    </w:lvl>
    <w:lvl w:ilvl="2" w:tplc="7778B6B0">
      <w:start w:val="1"/>
      <w:numFmt w:val="bullet"/>
      <w:lvlText w:val=""/>
      <w:lvlJc w:val="left"/>
      <w:pPr>
        <w:ind w:left="1800" w:hanging="360"/>
      </w:pPr>
      <w:rPr>
        <w:rFonts w:ascii="Symbol" w:hAnsi="Symbol" w:hint="default"/>
        <w:color w:val="F25821"/>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EF0242"/>
    <w:multiLevelType w:val="hybridMultilevel"/>
    <w:tmpl w:val="BFB06CE2"/>
    <w:lvl w:ilvl="0" w:tplc="7778B6B0">
      <w:start w:val="1"/>
      <w:numFmt w:val="bullet"/>
      <w:lvlText w:val=""/>
      <w:lvlJc w:val="left"/>
      <w:pPr>
        <w:ind w:left="360" w:hanging="360"/>
      </w:pPr>
      <w:rPr>
        <w:rFonts w:ascii="Symbol" w:hAnsi="Symbol" w:hint="default"/>
        <w:color w:val="F258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2A4C57"/>
    <w:multiLevelType w:val="hybridMultilevel"/>
    <w:tmpl w:val="DB84F384"/>
    <w:lvl w:ilvl="0" w:tplc="7778B6B0">
      <w:start w:val="1"/>
      <w:numFmt w:val="bullet"/>
      <w:lvlText w:val=""/>
      <w:lvlJc w:val="left"/>
      <w:pPr>
        <w:ind w:left="720" w:hanging="360"/>
      </w:pPr>
      <w:rPr>
        <w:rFonts w:ascii="Symbol" w:hAnsi="Symbol" w:hint="default"/>
        <w:color w:val="F258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9575EB"/>
    <w:multiLevelType w:val="hybridMultilevel"/>
    <w:tmpl w:val="93C8EB6C"/>
    <w:lvl w:ilvl="0" w:tplc="7778B6B0">
      <w:start w:val="1"/>
      <w:numFmt w:val="bullet"/>
      <w:lvlText w:val=""/>
      <w:lvlJc w:val="left"/>
      <w:pPr>
        <w:ind w:left="360" w:hanging="360"/>
      </w:pPr>
      <w:rPr>
        <w:rFonts w:ascii="Symbol" w:hAnsi="Symbol" w:hint="default"/>
        <w:color w:val="F25821"/>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D05036"/>
    <w:multiLevelType w:val="hybridMultilevel"/>
    <w:tmpl w:val="D54699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6"/>
  </w:num>
  <w:num w:numId="6">
    <w:abstractNumId w:val="0"/>
  </w:num>
  <w:num w:numId="7">
    <w:abstractNumId w:val="11"/>
  </w:num>
  <w:num w:numId="8">
    <w:abstractNumId w:val="12"/>
  </w:num>
  <w:num w:numId="9">
    <w:abstractNumId w:val="13"/>
  </w:num>
  <w:num w:numId="10">
    <w:abstractNumId w:val="7"/>
  </w:num>
  <w:num w:numId="11">
    <w:abstractNumId w:val="5"/>
  </w:num>
  <w:num w:numId="12">
    <w:abstractNumId w:val="14"/>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52"/>
    <w:rsid w:val="000852DB"/>
    <w:rsid w:val="0010633D"/>
    <w:rsid w:val="00155D93"/>
    <w:rsid w:val="00436492"/>
    <w:rsid w:val="00647B25"/>
    <w:rsid w:val="00680179"/>
    <w:rsid w:val="00743F52"/>
    <w:rsid w:val="007A28AA"/>
    <w:rsid w:val="007D4B88"/>
    <w:rsid w:val="008F7B91"/>
    <w:rsid w:val="009E5E05"/>
    <w:rsid w:val="00B57F7F"/>
    <w:rsid w:val="00C43D38"/>
    <w:rsid w:val="00D746B7"/>
    <w:rsid w:val="00DD028A"/>
    <w:rsid w:val="00F73549"/>
    <w:rsid w:val="00FA570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73B7"/>
    <w:pPr>
      <w:spacing w:after="120"/>
    </w:pPr>
    <w:rPr>
      <w:rFonts w:ascii="Verdana" w:hAnsi="Verdana"/>
      <w:kern w:val="26"/>
      <w:szCs w:val="24"/>
      <w:lang w:eastAsia="en-US"/>
    </w:rPr>
  </w:style>
  <w:style w:type="paragraph" w:styleId="Heading1">
    <w:name w:val="heading 1"/>
    <w:aliases w:val="06 Heading 1"/>
    <w:basedOn w:val="Normal"/>
    <w:next w:val="Normal"/>
    <w:autoRedefine/>
    <w:qFormat/>
    <w:rsid w:val="0063557D"/>
    <w:pPr>
      <w:keepNext/>
      <w:spacing w:before="480" w:after="0"/>
      <w:outlineLvl w:val="0"/>
    </w:pPr>
    <w:rPr>
      <w:rFonts w:cs="Arial"/>
      <w:bCs/>
      <w:color w:val="E52250"/>
      <w:kern w:val="106"/>
      <w:sz w:val="60"/>
      <w:szCs w:val="100"/>
    </w:rPr>
  </w:style>
  <w:style w:type="paragraph" w:styleId="Heading2">
    <w:name w:val="heading 2"/>
    <w:basedOn w:val="Normal"/>
    <w:next w:val="Normal"/>
    <w:autoRedefine/>
    <w:qFormat/>
    <w:rsid w:val="0099477D"/>
    <w:pPr>
      <w:keepNext/>
      <w:spacing w:before="360" w:after="240"/>
      <w:outlineLvl w:val="1"/>
    </w:pPr>
    <w:rPr>
      <w:noProof/>
      <w:color w:val="AC1D27"/>
      <w:kern w:val="0"/>
      <w:sz w:val="40"/>
      <w:szCs w:val="16"/>
      <w:lang w:eastAsia="en-GB"/>
    </w:rPr>
  </w:style>
  <w:style w:type="paragraph" w:styleId="Heading3">
    <w:name w:val="heading 3"/>
    <w:basedOn w:val="Normal"/>
    <w:next w:val="Normal"/>
    <w:autoRedefine/>
    <w:qFormat/>
    <w:rsid w:val="0099477D"/>
    <w:pPr>
      <w:keepNext/>
      <w:spacing w:before="240" w:after="0"/>
      <w:outlineLvl w:val="2"/>
    </w:pPr>
    <w:rPr>
      <w:rFonts w:cs="Arial"/>
      <w:b/>
      <w:bCs/>
      <w:color w:val="E84D30"/>
      <w:kern w:val="50"/>
      <w:szCs w:val="44"/>
    </w:rPr>
  </w:style>
  <w:style w:type="paragraph" w:styleId="Heading4">
    <w:name w:val="heading 4"/>
    <w:basedOn w:val="Normal"/>
    <w:next w:val="Normal"/>
    <w:qFormat/>
    <w:pPr>
      <w:keepNext/>
      <w:spacing w:after="200"/>
      <w:outlineLvl w:val="3"/>
    </w:pPr>
    <w:rPr>
      <w:bCs/>
      <w:color w:val="008000"/>
      <w:kern w:val="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next w:val="Normal"/>
    <w:rsid w:val="0099477D"/>
    <w:pPr>
      <w:spacing w:before="120" w:after="240"/>
    </w:pPr>
    <w:rPr>
      <w:b/>
      <w:color w:val="AC1D27"/>
    </w:rPr>
  </w:style>
  <w:style w:type="character" w:styleId="CommentReference">
    <w:name w:val="annotation reference"/>
    <w:aliases w:val=" Char Char2"/>
    <w:basedOn w:val="DefaultParagraphFont"/>
    <w:semiHidden/>
    <w:rPr>
      <w:sz w:val="16"/>
      <w:szCs w:val="16"/>
    </w:rPr>
  </w:style>
  <w:style w:type="paragraph" w:styleId="Header">
    <w:name w:val="header"/>
    <w:basedOn w:val="Normal"/>
    <w:semiHidden/>
    <w:pPr>
      <w:tabs>
        <w:tab w:val="center" w:pos="4320"/>
        <w:tab w:val="right" w:pos="8640"/>
      </w:tabs>
    </w:pPr>
    <w:rPr>
      <w:rFonts w:ascii="Helvetica 55 Roman" w:hAnsi="Helvetica 55 Roman"/>
    </w:rPr>
  </w:style>
  <w:style w:type="paragraph" w:styleId="Footer">
    <w:name w:val="footer"/>
    <w:basedOn w:val="Normal"/>
    <w:semiHidden/>
    <w:pPr>
      <w:tabs>
        <w:tab w:val="center" w:pos="4320"/>
        <w:tab w:val="right" w:pos="8640"/>
      </w:tabs>
    </w:pPr>
    <w:rPr>
      <w:kern w:val="24"/>
      <w:szCs w:val="22"/>
    </w:rPr>
  </w:style>
  <w:style w:type="character" w:styleId="PageNumber">
    <w:name w:val="page number"/>
    <w:basedOn w:val="DefaultParagraphFont"/>
    <w:semiHidden/>
    <w:rPr>
      <w:rFonts w:ascii="Arial" w:hAnsi="Arial"/>
      <w:color w:val="auto"/>
      <w:sz w:val="16"/>
      <w:szCs w:val="16"/>
      <w:u w:val="none"/>
    </w:rPr>
  </w:style>
  <w:style w:type="paragraph" w:customStyle="1" w:styleId="BalloonText1">
    <w:name w:val="Balloon Text1"/>
    <w:aliases w:val=" Char Char1"/>
    <w:basedOn w:val="Normal"/>
    <w:semiHidden/>
    <w:rPr>
      <w:rFonts w:ascii="Tahoma" w:hAnsi="Tahoma" w:cs="Courier New"/>
      <w:sz w:val="16"/>
      <w:szCs w:val="16"/>
    </w:rPr>
  </w:style>
  <w:style w:type="paragraph" w:styleId="TOC2">
    <w:name w:val="toc 2"/>
    <w:basedOn w:val="Normal"/>
    <w:next w:val="Normal"/>
    <w:autoRedefine/>
    <w:semiHidden/>
    <w:rsid w:val="00A60ED3"/>
    <w:pPr>
      <w:ind w:left="200"/>
    </w:pPr>
  </w:style>
  <w:style w:type="paragraph" w:customStyle="1" w:styleId="03Bullet">
    <w:name w:val="03 Bullet"/>
    <w:basedOn w:val="Normal"/>
    <w:autoRedefine/>
    <w:rsid w:val="00A60ED3"/>
    <w:pPr>
      <w:numPr>
        <w:numId w:val="1"/>
      </w:numPr>
      <w:tabs>
        <w:tab w:val="clear" w:pos="227"/>
      </w:tabs>
      <w:ind w:left="0" w:firstLine="340"/>
    </w:pPr>
  </w:style>
  <w:style w:type="paragraph" w:styleId="Caption">
    <w:name w:val="caption"/>
    <w:basedOn w:val="Normal"/>
    <w:next w:val="Normal"/>
    <w:qFormat/>
    <w:rPr>
      <w:b/>
      <w:bCs/>
      <w:szCs w:val="20"/>
    </w:rPr>
  </w:style>
  <w:style w:type="paragraph" w:customStyle="1" w:styleId="Cap1">
    <w:name w:val="Cap1"/>
    <w:basedOn w:val="Caption"/>
    <w:next w:val="Caption"/>
    <w:semiHidden/>
    <w:rPr>
      <w:b w:val="0"/>
      <w:kern w:val="32"/>
      <w:sz w:val="16"/>
    </w:rPr>
  </w:style>
  <w:style w:type="paragraph" w:customStyle="1" w:styleId="05CaptionBold">
    <w:name w:val="05 Caption Bold"/>
    <w:basedOn w:val="Normal"/>
    <w:next w:val="Normal"/>
    <w:autoRedefine/>
    <w:rsid w:val="00523CAA"/>
    <w:pPr>
      <w:spacing w:after="100"/>
    </w:pPr>
    <w:rPr>
      <w:b/>
      <w:color w:val="000000"/>
      <w:sz w:val="16"/>
    </w:rPr>
  </w:style>
  <w:style w:type="paragraph" w:customStyle="1" w:styleId="06CaptionNormal">
    <w:name w:val="06 Caption Normal"/>
    <w:basedOn w:val="Normal"/>
    <w:autoRedefine/>
    <w:rsid w:val="00465710"/>
    <w:pPr>
      <w:spacing w:after="100"/>
    </w:pPr>
    <w:rPr>
      <w:color w:val="000000"/>
      <w:sz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Contents">
    <w:name w:val="Contents"/>
    <w:basedOn w:val="Heading2"/>
    <w:autoRedefine/>
    <w:semiHidden/>
    <w:pPr>
      <w:spacing w:after="360"/>
      <w:ind w:right="130"/>
    </w:pPr>
    <w:rPr>
      <w:rFonts w:ascii="Arial" w:hAnsi="Arial"/>
      <w:bCs/>
      <w:iCs/>
      <w:noProof w:val="0"/>
      <w:color w:val="003366"/>
      <w:kern w:val="60"/>
      <w:sz w:val="56"/>
      <w:szCs w:val="56"/>
      <w:lang w:eastAsia="en-US"/>
    </w:rPr>
  </w:style>
  <w:style w:type="paragraph" w:styleId="DocumentMap">
    <w:name w:val="Document Map"/>
    <w:basedOn w:val="Normal"/>
    <w:semiHidden/>
    <w:pPr>
      <w:shd w:val="clear" w:color="auto" w:fill="000080"/>
    </w:pPr>
    <w:rPr>
      <w:rFonts w:ascii="Tahoma" w:hAnsi="Tahoma" w:cs="Courier New"/>
      <w:szCs w:val="20"/>
    </w:rPr>
  </w:style>
  <w:style w:type="character" w:styleId="Hyperlink">
    <w:name w:val="Hyperlink"/>
    <w:basedOn w:val="DefaultParagraphFont"/>
    <w:rPr>
      <w:color w:val="0000FF"/>
      <w:u w:val="single"/>
    </w:rPr>
  </w:style>
  <w:style w:type="paragraph" w:customStyle="1" w:styleId="01TextBold">
    <w:name w:val="01 Text Bold"/>
    <w:basedOn w:val="Normal"/>
    <w:next w:val="Normal"/>
    <w:autoRedefine/>
    <w:rsid w:val="006743DB"/>
    <w:rPr>
      <w:b/>
      <w:color w:val="000000"/>
    </w:rPr>
  </w:style>
  <w:style w:type="paragraph" w:customStyle="1" w:styleId="02Text">
    <w:name w:val="02 Text"/>
    <w:basedOn w:val="Normal"/>
    <w:autoRedefine/>
    <w:rsid w:val="006743DB"/>
    <w:rPr>
      <w:color w:val="000000"/>
    </w:rPr>
  </w:style>
  <w:style w:type="paragraph" w:styleId="TOC1">
    <w:name w:val="toc 1"/>
    <w:basedOn w:val="Normal"/>
    <w:next w:val="Normal"/>
    <w:autoRedefine/>
    <w:semiHidden/>
  </w:style>
  <w:style w:type="paragraph" w:customStyle="1" w:styleId="Footerinformation">
    <w:name w:val="Footer information"/>
    <w:basedOn w:val="Normal"/>
    <w:rsid w:val="00667CDC"/>
    <w:pPr>
      <w:spacing w:after="70" w:line="140" w:lineRule="exact"/>
    </w:pPr>
    <w:rPr>
      <w:sz w:val="12"/>
    </w:rPr>
  </w:style>
  <w:style w:type="paragraph" w:customStyle="1" w:styleId="Footerinformationbold">
    <w:name w:val="Footer information bold"/>
    <w:basedOn w:val="Footerinformation"/>
    <w:rsid w:val="00667CDC"/>
    <w:rPr>
      <w:b/>
    </w:rPr>
  </w:style>
  <w:style w:type="paragraph" w:styleId="TOC3">
    <w:name w:val="toc 3"/>
    <w:basedOn w:val="Normal"/>
    <w:next w:val="Normal"/>
    <w:autoRedefine/>
    <w:semiHidden/>
    <w:rsid w:val="00A60ED3"/>
    <w:pPr>
      <w:ind w:left="400"/>
    </w:pPr>
  </w:style>
  <w:style w:type="paragraph" w:styleId="TOC4">
    <w:name w:val="toc 4"/>
    <w:basedOn w:val="Normal"/>
    <w:next w:val="Normal"/>
    <w:autoRedefine/>
    <w:semiHidden/>
    <w:rsid w:val="00A60ED3"/>
    <w:pPr>
      <w:ind w:left="600"/>
    </w:pPr>
  </w:style>
  <w:style w:type="paragraph" w:styleId="TOC5">
    <w:name w:val="toc 5"/>
    <w:basedOn w:val="Normal"/>
    <w:next w:val="Normal"/>
    <w:autoRedefine/>
    <w:semiHidden/>
    <w:rsid w:val="00A60ED3"/>
    <w:pPr>
      <w:ind w:left="800"/>
    </w:pPr>
  </w:style>
  <w:style w:type="paragraph" w:styleId="TOC6">
    <w:name w:val="toc 6"/>
    <w:basedOn w:val="Normal"/>
    <w:next w:val="Normal"/>
    <w:autoRedefine/>
    <w:semiHidden/>
    <w:rsid w:val="00A60ED3"/>
    <w:pPr>
      <w:ind w:left="1000"/>
    </w:pPr>
  </w:style>
  <w:style w:type="paragraph" w:styleId="TOC7">
    <w:name w:val="toc 7"/>
    <w:basedOn w:val="Normal"/>
    <w:next w:val="Normal"/>
    <w:autoRedefine/>
    <w:semiHidden/>
    <w:rsid w:val="00A60ED3"/>
    <w:pPr>
      <w:ind w:left="1200"/>
    </w:pPr>
  </w:style>
  <w:style w:type="paragraph" w:styleId="TOC8">
    <w:name w:val="toc 8"/>
    <w:basedOn w:val="Normal"/>
    <w:next w:val="Normal"/>
    <w:autoRedefine/>
    <w:semiHidden/>
    <w:rsid w:val="00A60ED3"/>
    <w:pPr>
      <w:ind w:left="1400"/>
    </w:pPr>
  </w:style>
  <w:style w:type="paragraph" w:styleId="TOC9">
    <w:name w:val="toc 9"/>
    <w:basedOn w:val="Normal"/>
    <w:next w:val="Normal"/>
    <w:autoRedefine/>
    <w:semiHidden/>
    <w:rsid w:val="00A60ED3"/>
    <w:pPr>
      <w:ind w:left="1600"/>
    </w:pPr>
  </w:style>
  <w:style w:type="paragraph" w:customStyle="1" w:styleId="04NumberedList">
    <w:name w:val="04 Numbered List"/>
    <w:basedOn w:val="Normal"/>
    <w:rsid w:val="00A60ED3"/>
    <w:pPr>
      <w:numPr>
        <w:numId w:val="6"/>
      </w:numPr>
      <w:tabs>
        <w:tab w:val="clear" w:pos="-113"/>
      </w:tabs>
      <w:ind w:left="340" w:hanging="340"/>
    </w:pPr>
  </w:style>
  <w:style w:type="paragraph" w:customStyle="1" w:styleId="Noparagraphstyle">
    <w:name w:val="[No paragraph style]"/>
    <w:rsid w:val="006160DA"/>
    <w:pPr>
      <w:widowControl w:val="0"/>
      <w:autoSpaceDE w:val="0"/>
      <w:autoSpaceDN w:val="0"/>
      <w:adjustRightInd w:val="0"/>
      <w:spacing w:line="288" w:lineRule="auto"/>
      <w:textAlignment w:val="center"/>
    </w:pPr>
    <w:rPr>
      <w:rFonts w:ascii="TheSans" w:hAnsi="TheSans" w:cs="TheSans"/>
      <w:color w:val="000000"/>
      <w:sz w:val="24"/>
      <w:szCs w:val="24"/>
      <w:lang w:val="en-US" w:eastAsia="en-US" w:bidi="en-US"/>
    </w:rPr>
  </w:style>
  <w:style w:type="paragraph" w:styleId="EndnoteText">
    <w:name w:val="endnote text"/>
    <w:basedOn w:val="Normal"/>
    <w:link w:val="EndnoteTextChar"/>
    <w:uiPriority w:val="99"/>
    <w:unhideWhenUsed/>
    <w:rsid w:val="000852DB"/>
    <w:pPr>
      <w:spacing w:after="0"/>
    </w:pPr>
    <w:rPr>
      <w:rFonts w:ascii="Calibri" w:eastAsia="Calibri" w:hAnsi="Calibri" w:cs="Calibri"/>
      <w:kern w:val="0"/>
      <w:szCs w:val="20"/>
      <w:lang w:eastAsia="en-GB"/>
    </w:rPr>
  </w:style>
  <w:style w:type="character" w:customStyle="1" w:styleId="EndnoteTextChar">
    <w:name w:val="Endnote Text Char"/>
    <w:basedOn w:val="DefaultParagraphFont"/>
    <w:link w:val="EndnoteText"/>
    <w:uiPriority w:val="99"/>
    <w:rsid w:val="000852DB"/>
    <w:rPr>
      <w:rFonts w:ascii="Calibri" w:eastAsia="Calibri" w:hAnsi="Calibri" w:cs="Calibri"/>
    </w:rPr>
  </w:style>
  <w:style w:type="character" w:styleId="EndnoteReference">
    <w:name w:val="endnote reference"/>
    <w:uiPriority w:val="99"/>
    <w:semiHidden/>
    <w:unhideWhenUsed/>
    <w:rsid w:val="000852DB"/>
    <w:rPr>
      <w:vertAlign w:val="superscript"/>
    </w:rPr>
  </w:style>
  <w:style w:type="paragraph" w:styleId="ListParagraph">
    <w:name w:val="List Paragraph"/>
    <w:basedOn w:val="Normal"/>
    <w:uiPriority w:val="72"/>
    <w:qFormat/>
    <w:rsid w:val="007A28AA"/>
    <w:pPr>
      <w:ind w:left="720"/>
      <w:contextualSpacing/>
    </w:pPr>
  </w:style>
  <w:style w:type="paragraph" w:customStyle="1" w:styleId="Default">
    <w:name w:val="Default"/>
    <w:rsid w:val="00C43D38"/>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73B7"/>
    <w:pPr>
      <w:spacing w:after="120"/>
    </w:pPr>
    <w:rPr>
      <w:rFonts w:ascii="Verdana" w:hAnsi="Verdana"/>
      <w:kern w:val="26"/>
      <w:szCs w:val="24"/>
      <w:lang w:eastAsia="en-US"/>
    </w:rPr>
  </w:style>
  <w:style w:type="paragraph" w:styleId="Heading1">
    <w:name w:val="heading 1"/>
    <w:aliases w:val="06 Heading 1"/>
    <w:basedOn w:val="Normal"/>
    <w:next w:val="Normal"/>
    <w:autoRedefine/>
    <w:qFormat/>
    <w:rsid w:val="0063557D"/>
    <w:pPr>
      <w:keepNext/>
      <w:spacing w:before="480" w:after="0"/>
      <w:outlineLvl w:val="0"/>
    </w:pPr>
    <w:rPr>
      <w:rFonts w:cs="Arial"/>
      <w:bCs/>
      <w:color w:val="E52250"/>
      <w:kern w:val="106"/>
      <w:sz w:val="60"/>
      <w:szCs w:val="100"/>
    </w:rPr>
  </w:style>
  <w:style w:type="paragraph" w:styleId="Heading2">
    <w:name w:val="heading 2"/>
    <w:basedOn w:val="Normal"/>
    <w:next w:val="Normal"/>
    <w:autoRedefine/>
    <w:qFormat/>
    <w:rsid w:val="0099477D"/>
    <w:pPr>
      <w:keepNext/>
      <w:spacing w:before="360" w:after="240"/>
      <w:outlineLvl w:val="1"/>
    </w:pPr>
    <w:rPr>
      <w:noProof/>
      <w:color w:val="AC1D27"/>
      <w:kern w:val="0"/>
      <w:sz w:val="40"/>
      <w:szCs w:val="16"/>
      <w:lang w:eastAsia="en-GB"/>
    </w:rPr>
  </w:style>
  <w:style w:type="paragraph" w:styleId="Heading3">
    <w:name w:val="heading 3"/>
    <w:basedOn w:val="Normal"/>
    <w:next w:val="Normal"/>
    <w:autoRedefine/>
    <w:qFormat/>
    <w:rsid w:val="0099477D"/>
    <w:pPr>
      <w:keepNext/>
      <w:spacing w:before="240" w:after="0"/>
      <w:outlineLvl w:val="2"/>
    </w:pPr>
    <w:rPr>
      <w:rFonts w:cs="Arial"/>
      <w:b/>
      <w:bCs/>
      <w:color w:val="E84D30"/>
      <w:kern w:val="50"/>
      <w:szCs w:val="44"/>
    </w:rPr>
  </w:style>
  <w:style w:type="paragraph" w:styleId="Heading4">
    <w:name w:val="heading 4"/>
    <w:basedOn w:val="Normal"/>
    <w:next w:val="Normal"/>
    <w:qFormat/>
    <w:pPr>
      <w:keepNext/>
      <w:spacing w:after="200"/>
      <w:outlineLvl w:val="3"/>
    </w:pPr>
    <w:rPr>
      <w:bCs/>
      <w:color w:val="008000"/>
      <w:kern w:val="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next w:val="Normal"/>
    <w:rsid w:val="0099477D"/>
    <w:pPr>
      <w:spacing w:before="120" w:after="240"/>
    </w:pPr>
    <w:rPr>
      <w:b/>
      <w:color w:val="AC1D27"/>
    </w:rPr>
  </w:style>
  <w:style w:type="character" w:styleId="CommentReference">
    <w:name w:val="annotation reference"/>
    <w:aliases w:val=" Char Char2"/>
    <w:basedOn w:val="DefaultParagraphFont"/>
    <w:semiHidden/>
    <w:rPr>
      <w:sz w:val="16"/>
      <w:szCs w:val="16"/>
    </w:rPr>
  </w:style>
  <w:style w:type="paragraph" w:styleId="Header">
    <w:name w:val="header"/>
    <w:basedOn w:val="Normal"/>
    <w:semiHidden/>
    <w:pPr>
      <w:tabs>
        <w:tab w:val="center" w:pos="4320"/>
        <w:tab w:val="right" w:pos="8640"/>
      </w:tabs>
    </w:pPr>
    <w:rPr>
      <w:rFonts w:ascii="Helvetica 55 Roman" w:hAnsi="Helvetica 55 Roman"/>
    </w:rPr>
  </w:style>
  <w:style w:type="paragraph" w:styleId="Footer">
    <w:name w:val="footer"/>
    <w:basedOn w:val="Normal"/>
    <w:semiHidden/>
    <w:pPr>
      <w:tabs>
        <w:tab w:val="center" w:pos="4320"/>
        <w:tab w:val="right" w:pos="8640"/>
      </w:tabs>
    </w:pPr>
    <w:rPr>
      <w:kern w:val="24"/>
      <w:szCs w:val="22"/>
    </w:rPr>
  </w:style>
  <w:style w:type="character" w:styleId="PageNumber">
    <w:name w:val="page number"/>
    <w:basedOn w:val="DefaultParagraphFont"/>
    <w:semiHidden/>
    <w:rPr>
      <w:rFonts w:ascii="Arial" w:hAnsi="Arial"/>
      <w:color w:val="auto"/>
      <w:sz w:val="16"/>
      <w:szCs w:val="16"/>
      <w:u w:val="none"/>
    </w:rPr>
  </w:style>
  <w:style w:type="paragraph" w:customStyle="1" w:styleId="BalloonText1">
    <w:name w:val="Balloon Text1"/>
    <w:aliases w:val=" Char Char1"/>
    <w:basedOn w:val="Normal"/>
    <w:semiHidden/>
    <w:rPr>
      <w:rFonts w:ascii="Tahoma" w:hAnsi="Tahoma" w:cs="Courier New"/>
      <w:sz w:val="16"/>
      <w:szCs w:val="16"/>
    </w:rPr>
  </w:style>
  <w:style w:type="paragraph" w:styleId="TOC2">
    <w:name w:val="toc 2"/>
    <w:basedOn w:val="Normal"/>
    <w:next w:val="Normal"/>
    <w:autoRedefine/>
    <w:semiHidden/>
    <w:rsid w:val="00A60ED3"/>
    <w:pPr>
      <w:ind w:left="200"/>
    </w:pPr>
  </w:style>
  <w:style w:type="paragraph" w:customStyle="1" w:styleId="03Bullet">
    <w:name w:val="03 Bullet"/>
    <w:basedOn w:val="Normal"/>
    <w:autoRedefine/>
    <w:rsid w:val="00A60ED3"/>
    <w:pPr>
      <w:numPr>
        <w:numId w:val="1"/>
      </w:numPr>
      <w:tabs>
        <w:tab w:val="clear" w:pos="227"/>
      </w:tabs>
      <w:ind w:left="0" w:firstLine="340"/>
    </w:pPr>
  </w:style>
  <w:style w:type="paragraph" w:styleId="Caption">
    <w:name w:val="caption"/>
    <w:basedOn w:val="Normal"/>
    <w:next w:val="Normal"/>
    <w:qFormat/>
    <w:rPr>
      <w:b/>
      <w:bCs/>
      <w:szCs w:val="20"/>
    </w:rPr>
  </w:style>
  <w:style w:type="paragraph" w:customStyle="1" w:styleId="Cap1">
    <w:name w:val="Cap1"/>
    <w:basedOn w:val="Caption"/>
    <w:next w:val="Caption"/>
    <w:semiHidden/>
    <w:rPr>
      <w:b w:val="0"/>
      <w:kern w:val="32"/>
      <w:sz w:val="16"/>
    </w:rPr>
  </w:style>
  <w:style w:type="paragraph" w:customStyle="1" w:styleId="05CaptionBold">
    <w:name w:val="05 Caption Bold"/>
    <w:basedOn w:val="Normal"/>
    <w:next w:val="Normal"/>
    <w:autoRedefine/>
    <w:rsid w:val="00523CAA"/>
    <w:pPr>
      <w:spacing w:after="100"/>
    </w:pPr>
    <w:rPr>
      <w:b/>
      <w:color w:val="000000"/>
      <w:sz w:val="16"/>
    </w:rPr>
  </w:style>
  <w:style w:type="paragraph" w:customStyle="1" w:styleId="06CaptionNormal">
    <w:name w:val="06 Caption Normal"/>
    <w:basedOn w:val="Normal"/>
    <w:autoRedefine/>
    <w:rsid w:val="00465710"/>
    <w:pPr>
      <w:spacing w:after="100"/>
    </w:pPr>
    <w:rPr>
      <w:color w:val="000000"/>
      <w:sz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Contents">
    <w:name w:val="Contents"/>
    <w:basedOn w:val="Heading2"/>
    <w:autoRedefine/>
    <w:semiHidden/>
    <w:pPr>
      <w:spacing w:after="360"/>
      <w:ind w:right="130"/>
    </w:pPr>
    <w:rPr>
      <w:rFonts w:ascii="Arial" w:hAnsi="Arial"/>
      <w:bCs/>
      <w:iCs/>
      <w:noProof w:val="0"/>
      <w:color w:val="003366"/>
      <w:kern w:val="60"/>
      <w:sz w:val="56"/>
      <w:szCs w:val="56"/>
      <w:lang w:eastAsia="en-US"/>
    </w:rPr>
  </w:style>
  <w:style w:type="paragraph" w:styleId="DocumentMap">
    <w:name w:val="Document Map"/>
    <w:basedOn w:val="Normal"/>
    <w:semiHidden/>
    <w:pPr>
      <w:shd w:val="clear" w:color="auto" w:fill="000080"/>
    </w:pPr>
    <w:rPr>
      <w:rFonts w:ascii="Tahoma" w:hAnsi="Tahoma" w:cs="Courier New"/>
      <w:szCs w:val="20"/>
    </w:rPr>
  </w:style>
  <w:style w:type="character" w:styleId="Hyperlink">
    <w:name w:val="Hyperlink"/>
    <w:basedOn w:val="DefaultParagraphFont"/>
    <w:rPr>
      <w:color w:val="0000FF"/>
      <w:u w:val="single"/>
    </w:rPr>
  </w:style>
  <w:style w:type="paragraph" w:customStyle="1" w:styleId="01TextBold">
    <w:name w:val="01 Text Bold"/>
    <w:basedOn w:val="Normal"/>
    <w:next w:val="Normal"/>
    <w:autoRedefine/>
    <w:rsid w:val="006743DB"/>
    <w:rPr>
      <w:b/>
      <w:color w:val="000000"/>
    </w:rPr>
  </w:style>
  <w:style w:type="paragraph" w:customStyle="1" w:styleId="02Text">
    <w:name w:val="02 Text"/>
    <w:basedOn w:val="Normal"/>
    <w:autoRedefine/>
    <w:rsid w:val="006743DB"/>
    <w:rPr>
      <w:color w:val="000000"/>
    </w:rPr>
  </w:style>
  <w:style w:type="paragraph" w:styleId="TOC1">
    <w:name w:val="toc 1"/>
    <w:basedOn w:val="Normal"/>
    <w:next w:val="Normal"/>
    <w:autoRedefine/>
    <w:semiHidden/>
  </w:style>
  <w:style w:type="paragraph" w:customStyle="1" w:styleId="Footerinformation">
    <w:name w:val="Footer information"/>
    <w:basedOn w:val="Normal"/>
    <w:rsid w:val="00667CDC"/>
    <w:pPr>
      <w:spacing w:after="70" w:line="140" w:lineRule="exact"/>
    </w:pPr>
    <w:rPr>
      <w:sz w:val="12"/>
    </w:rPr>
  </w:style>
  <w:style w:type="paragraph" w:customStyle="1" w:styleId="Footerinformationbold">
    <w:name w:val="Footer information bold"/>
    <w:basedOn w:val="Footerinformation"/>
    <w:rsid w:val="00667CDC"/>
    <w:rPr>
      <w:b/>
    </w:rPr>
  </w:style>
  <w:style w:type="paragraph" w:styleId="TOC3">
    <w:name w:val="toc 3"/>
    <w:basedOn w:val="Normal"/>
    <w:next w:val="Normal"/>
    <w:autoRedefine/>
    <w:semiHidden/>
    <w:rsid w:val="00A60ED3"/>
    <w:pPr>
      <w:ind w:left="400"/>
    </w:pPr>
  </w:style>
  <w:style w:type="paragraph" w:styleId="TOC4">
    <w:name w:val="toc 4"/>
    <w:basedOn w:val="Normal"/>
    <w:next w:val="Normal"/>
    <w:autoRedefine/>
    <w:semiHidden/>
    <w:rsid w:val="00A60ED3"/>
    <w:pPr>
      <w:ind w:left="600"/>
    </w:pPr>
  </w:style>
  <w:style w:type="paragraph" w:styleId="TOC5">
    <w:name w:val="toc 5"/>
    <w:basedOn w:val="Normal"/>
    <w:next w:val="Normal"/>
    <w:autoRedefine/>
    <w:semiHidden/>
    <w:rsid w:val="00A60ED3"/>
    <w:pPr>
      <w:ind w:left="800"/>
    </w:pPr>
  </w:style>
  <w:style w:type="paragraph" w:styleId="TOC6">
    <w:name w:val="toc 6"/>
    <w:basedOn w:val="Normal"/>
    <w:next w:val="Normal"/>
    <w:autoRedefine/>
    <w:semiHidden/>
    <w:rsid w:val="00A60ED3"/>
    <w:pPr>
      <w:ind w:left="1000"/>
    </w:pPr>
  </w:style>
  <w:style w:type="paragraph" w:styleId="TOC7">
    <w:name w:val="toc 7"/>
    <w:basedOn w:val="Normal"/>
    <w:next w:val="Normal"/>
    <w:autoRedefine/>
    <w:semiHidden/>
    <w:rsid w:val="00A60ED3"/>
    <w:pPr>
      <w:ind w:left="1200"/>
    </w:pPr>
  </w:style>
  <w:style w:type="paragraph" w:styleId="TOC8">
    <w:name w:val="toc 8"/>
    <w:basedOn w:val="Normal"/>
    <w:next w:val="Normal"/>
    <w:autoRedefine/>
    <w:semiHidden/>
    <w:rsid w:val="00A60ED3"/>
    <w:pPr>
      <w:ind w:left="1400"/>
    </w:pPr>
  </w:style>
  <w:style w:type="paragraph" w:styleId="TOC9">
    <w:name w:val="toc 9"/>
    <w:basedOn w:val="Normal"/>
    <w:next w:val="Normal"/>
    <w:autoRedefine/>
    <w:semiHidden/>
    <w:rsid w:val="00A60ED3"/>
    <w:pPr>
      <w:ind w:left="1600"/>
    </w:pPr>
  </w:style>
  <w:style w:type="paragraph" w:customStyle="1" w:styleId="04NumberedList">
    <w:name w:val="04 Numbered List"/>
    <w:basedOn w:val="Normal"/>
    <w:rsid w:val="00A60ED3"/>
    <w:pPr>
      <w:numPr>
        <w:numId w:val="6"/>
      </w:numPr>
      <w:tabs>
        <w:tab w:val="clear" w:pos="-113"/>
      </w:tabs>
      <w:ind w:left="340" w:hanging="340"/>
    </w:pPr>
  </w:style>
  <w:style w:type="paragraph" w:customStyle="1" w:styleId="Noparagraphstyle">
    <w:name w:val="[No paragraph style]"/>
    <w:rsid w:val="006160DA"/>
    <w:pPr>
      <w:widowControl w:val="0"/>
      <w:autoSpaceDE w:val="0"/>
      <w:autoSpaceDN w:val="0"/>
      <w:adjustRightInd w:val="0"/>
      <w:spacing w:line="288" w:lineRule="auto"/>
      <w:textAlignment w:val="center"/>
    </w:pPr>
    <w:rPr>
      <w:rFonts w:ascii="TheSans" w:hAnsi="TheSans" w:cs="TheSans"/>
      <w:color w:val="000000"/>
      <w:sz w:val="24"/>
      <w:szCs w:val="24"/>
      <w:lang w:val="en-US" w:eastAsia="en-US" w:bidi="en-US"/>
    </w:rPr>
  </w:style>
  <w:style w:type="paragraph" w:styleId="EndnoteText">
    <w:name w:val="endnote text"/>
    <w:basedOn w:val="Normal"/>
    <w:link w:val="EndnoteTextChar"/>
    <w:uiPriority w:val="99"/>
    <w:unhideWhenUsed/>
    <w:rsid w:val="000852DB"/>
    <w:pPr>
      <w:spacing w:after="0"/>
    </w:pPr>
    <w:rPr>
      <w:rFonts w:ascii="Calibri" w:eastAsia="Calibri" w:hAnsi="Calibri" w:cs="Calibri"/>
      <w:kern w:val="0"/>
      <w:szCs w:val="20"/>
      <w:lang w:eastAsia="en-GB"/>
    </w:rPr>
  </w:style>
  <w:style w:type="character" w:customStyle="1" w:styleId="EndnoteTextChar">
    <w:name w:val="Endnote Text Char"/>
    <w:basedOn w:val="DefaultParagraphFont"/>
    <w:link w:val="EndnoteText"/>
    <w:uiPriority w:val="99"/>
    <w:rsid w:val="000852DB"/>
    <w:rPr>
      <w:rFonts w:ascii="Calibri" w:eastAsia="Calibri" w:hAnsi="Calibri" w:cs="Calibri"/>
    </w:rPr>
  </w:style>
  <w:style w:type="character" w:styleId="EndnoteReference">
    <w:name w:val="endnote reference"/>
    <w:uiPriority w:val="99"/>
    <w:semiHidden/>
    <w:unhideWhenUsed/>
    <w:rsid w:val="000852DB"/>
    <w:rPr>
      <w:vertAlign w:val="superscript"/>
    </w:rPr>
  </w:style>
  <w:style w:type="paragraph" w:styleId="ListParagraph">
    <w:name w:val="List Paragraph"/>
    <w:basedOn w:val="Normal"/>
    <w:uiPriority w:val="72"/>
    <w:qFormat/>
    <w:rsid w:val="007A28AA"/>
    <w:pPr>
      <w:ind w:left="720"/>
      <w:contextualSpacing/>
    </w:pPr>
  </w:style>
  <w:style w:type="paragraph" w:customStyle="1" w:styleId="Default">
    <w:name w:val="Default"/>
    <w:rsid w:val="00C43D3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lpa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helpag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a.sathianathan\Downloads\30yr-HelpAge-report-0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30yr-HelpAge-report-02 (3)</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Base/>
  <HLinks>
    <vt:vector size="24" baseType="variant">
      <vt:variant>
        <vt:i4>6029376</vt:i4>
      </vt:variant>
      <vt:variant>
        <vt:i4>-1</vt:i4>
      </vt:variant>
      <vt:variant>
        <vt:i4>1060</vt:i4>
      </vt:variant>
      <vt:variant>
        <vt:i4>1</vt:i4>
      </vt:variant>
      <vt:variant>
        <vt:lpwstr>HAI-logo-RGB</vt:lpwstr>
      </vt:variant>
      <vt:variant>
        <vt:lpwstr/>
      </vt:variant>
      <vt:variant>
        <vt:i4>5374047</vt:i4>
      </vt:variant>
      <vt:variant>
        <vt:i4>-1</vt:i4>
      </vt:variant>
      <vt:variant>
        <vt:i4>1063</vt:i4>
      </vt:variant>
      <vt:variant>
        <vt:i4>1</vt:i4>
      </vt:variant>
      <vt:variant>
        <vt:lpwstr>30yr-HelpAge-RGB</vt:lpwstr>
      </vt:variant>
      <vt:variant>
        <vt:lpwstr/>
      </vt:variant>
      <vt:variant>
        <vt:i4>4980784</vt:i4>
      </vt:variant>
      <vt:variant>
        <vt:i4>-1</vt:i4>
      </vt:variant>
      <vt:variant>
        <vt:i4>2064</vt:i4>
      </vt:variant>
      <vt:variant>
        <vt:i4>1</vt:i4>
      </vt:variant>
      <vt:variant>
        <vt:lpwstr>120-2326377971_c9cb5b7640_b</vt:lpwstr>
      </vt:variant>
      <vt:variant>
        <vt:lpwstr/>
      </vt:variant>
      <vt:variant>
        <vt:i4>1572952</vt:i4>
      </vt:variant>
      <vt:variant>
        <vt:i4>-1</vt:i4>
      </vt:variant>
      <vt:variant>
        <vt:i4>2065</vt:i4>
      </vt:variant>
      <vt:variant>
        <vt:i4>1</vt:i4>
      </vt:variant>
      <vt:variant>
        <vt:lpwstr>HelpAge-message-panel-02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 Sathianathan</dc:creator>
  <cp:lastModifiedBy>Dama Sathianathan</cp:lastModifiedBy>
  <cp:revision>2</cp:revision>
  <cp:lastPrinted>1901-01-01T00:00:00Z</cp:lastPrinted>
  <dcterms:created xsi:type="dcterms:W3CDTF">2015-02-27T12:10:00Z</dcterms:created>
  <dcterms:modified xsi:type="dcterms:W3CDTF">2015-02-27T12:10:00Z</dcterms:modified>
</cp:coreProperties>
</file>