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1DA37" w14:textId="77777777" w:rsidR="00CE7A1F" w:rsidRPr="00E5669F" w:rsidRDefault="00EE1089" w:rsidP="00CE7A1F">
      <w:pPr>
        <w:pBdr>
          <w:bottom w:val="single" w:sz="4" w:space="1" w:color="auto"/>
        </w:pBdr>
        <w:rPr>
          <w:b/>
          <w:color w:val="C00000"/>
          <w:lang w:val="es-ES"/>
        </w:rPr>
      </w:pPr>
      <w:r w:rsidRPr="00E5669F">
        <w:rPr>
          <w:b/>
          <w:color w:val="C00000"/>
          <w:lang w:val="es-ES"/>
        </w:rPr>
        <w:t xml:space="preserve">Respuesta de </w:t>
      </w:r>
      <w:proofErr w:type="spellStart"/>
      <w:r w:rsidRPr="00E5669F">
        <w:rPr>
          <w:b/>
          <w:color w:val="C00000"/>
          <w:lang w:val="es-ES"/>
        </w:rPr>
        <w:t>HelpAge</w:t>
      </w:r>
      <w:proofErr w:type="spellEnd"/>
      <w:r w:rsidRPr="00E5669F">
        <w:rPr>
          <w:b/>
          <w:color w:val="C00000"/>
          <w:lang w:val="es-ES"/>
        </w:rPr>
        <w:t xml:space="preserve"> a las C</w:t>
      </w:r>
      <w:r w:rsidR="00CE7A1F" w:rsidRPr="00E5669F">
        <w:rPr>
          <w:b/>
          <w:color w:val="C00000"/>
          <w:lang w:val="es-ES"/>
        </w:rPr>
        <w:t xml:space="preserve">onclusiones </w:t>
      </w:r>
      <w:r w:rsidR="00FE11BF" w:rsidRPr="00E5669F">
        <w:rPr>
          <w:b/>
          <w:color w:val="C00000"/>
          <w:lang w:val="es-ES"/>
        </w:rPr>
        <w:t xml:space="preserve">de diciembre de 2014 </w:t>
      </w:r>
      <w:r w:rsidR="00CE7A1F" w:rsidRPr="00E5669F">
        <w:rPr>
          <w:b/>
          <w:color w:val="C00000"/>
          <w:lang w:val="es-ES"/>
        </w:rPr>
        <w:t xml:space="preserve">del Consejo de </w:t>
      </w:r>
      <w:r w:rsidRPr="00E5669F">
        <w:rPr>
          <w:b/>
          <w:color w:val="C00000"/>
          <w:lang w:val="es-ES"/>
        </w:rPr>
        <w:t xml:space="preserve">la </w:t>
      </w:r>
      <w:r w:rsidR="00CE7A1F" w:rsidRPr="00E5669F">
        <w:rPr>
          <w:b/>
          <w:color w:val="C00000"/>
          <w:lang w:val="es-ES"/>
        </w:rPr>
        <w:t xml:space="preserve">UE en el marco de </w:t>
      </w:r>
      <w:r w:rsidRPr="00E5669F">
        <w:rPr>
          <w:b/>
          <w:color w:val="C00000"/>
          <w:lang w:val="es-ES"/>
        </w:rPr>
        <w:t>una</w:t>
      </w:r>
      <w:r w:rsidR="00CE7A1F" w:rsidRPr="00E5669F">
        <w:rPr>
          <w:b/>
          <w:color w:val="C00000"/>
          <w:lang w:val="es-ES"/>
        </w:rPr>
        <w:t xml:space="preserve"> agenda post-2015</w:t>
      </w:r>
      <w:r w:rsidRPr="00E5669F">
        <w:rPr>
          <w:b/>
          <w:color w:val="C00000"/>
          <w:lang w:val="es-ES"/>
        </w:rPr>
        <w:t xml:space="preserve"> transformadora.</w:t>
      </w:r>
      <w:r w:rsidR="00CE7A1F" w:rsidRPr="00E5669F">
        <w:rPr>
          <w:b/>
          <w:color w:val="C00000"/>
          <w:lang w:val="es-ES"/>
        </w:rPr>
        <w:br/>
      </w:r>
    </w:p>
    <w:p w14:paraId="0B8D57D6" w14:textId="77777777" w:rsidR="00CE7A1F" w:rsidRPr="00E5669F" w:rsidRDefault="00EE1089" w:rsidP="00CE7A1F">
      <w:pPr>
        <w:pStyle w:val="Default"/>
        <w:rPr>
          <w:sz w:val="22"/>
          <w:szCs w:val="22"/>
          <w:lang w:val="es-ES"/>
        </w:rPr>
      </w:pPr>
      <w:r w:rsidRPr="00E5669F">
        <w:rPr>
          <w:sz w:val="22"/>
          <w:szCs w:val="22"/>
          <w:lang w:val="es-ES"/>
        </w:rPr>
        <w:t xml:space="preserve">Las filiales </w:t>
      </w:r>
      <w:r w:rsidR="00AF7421">
        <w:rPr>
          <w:sz w:val="22"/>
          <w:szCs w:val="22"/>
          <w:lang w:val="es-ES"/>
        </w:rPr>
        <w:t>de la red de la UE</w:t>
      </w:r>
      <w:r w:rsidR="00575C4E" w:rsidRPr="00E5669F">
        <w:rPr>
          <w:sz w:val="22"/>
          <w:szCs w:val="22"/>
          <w:lang w:val="es-ES"/>
        </w:rPr>
        <w:t xml:space="preserve"> de </w:t>
      </w:r>
      <w:proofErr w:type="spellStart"/>
      <w:r w:rsidR="00575C4E" w:rsidRPr="00E5669F">
        <w:rPr>
          <w:sz w:val="22"/>
          <w:szCs w:val="22"/>
          <w:lang w:val="es-ES"/>
        </w:rPr>
        <w:t>HelpAge</w:t>
      </w:r>
      <w:proofErr w:type="spellEnd"/>
      <w:r w:rsidR="00CE7A1F" w:rsidRPr="00E5669F">
        <w:rPr>
          <w:sz w:val="22"/>
          <w:szCs w:val="22"/>
          <w:lang w:val="es-ES"/>
        </w:rPr>
        <w:t>, felicitan a los estados miembros de la Uni</w:t>
      </w:r>
      <w:r w:rsidR="00575C4E" w:rsidRPr="00E5669F">
        <w:rPr>
          <w:sz w:val="22"/>
          <w:szCs w:val="22"/>
          <w:lang w:val="es-ES"/>
        </w:rPr>
        <w:t xml:space="preserve">ón Europea por la adopción </w:t>
      </w:r>
      <w:r w:rsidR="00AF7421">
        <w:rPr>
          <w:sz w:val="22"/>
          <w:szCs w:val="22"/>
          <w:lang w:val="es-ES"/>
        </w:rPr>
        <w:t>de las C</w:t>
      </w:r>
      <w:r w:rsidR="00575C4E" w:rsidRPr="00E5669F">
        <w:rPr>
          <w:sz w:val="22"/>
          <w:szCs w:val="22"/>
          <w:lang w:val="es-ES"/>
        </w:rPr>
        <w:t xml:space="preserve">onclusiones de la reunión del 16 de diciembre </w:t>
      </w:r>
      <w:r w:rsidRPr="00E5669F">
        <w:rPr>
          <w:sz w:val="22"/>
          <w:szCs w:val="22"/>
          <w:lang w:val="es-ES"/>
        </w:rPr>
        <w:t xml:space="preserve">en el marco </w:t>
      </w:r>
      <w:r w:rsidR="00741148">
        <w:rPr>
          <w:sz w:val="22"/>
          <w:szCs w:val="22"/>
          <w:lang w:val="es-ES"/>
        </w:rPr>
        <w:t xml:space="preserve">de </w:t>
      </w:r>
      <w:r w:rsidRPr="00E5669F">
        <w:rPr>
          <w:sz w:val="22"/>
          <w:szCs w:val="22"/>
          <w:lang w:val="es-ES"/>
        </w:rPr>
        <w:t xml:space="preserve">una </w:t>
      </w:r>
      <w:r w:rsidR="00575C4E" w:rsidRPr="00E5669F">
        <w:rPr>
          <w:sz w:val="22"/>
          <w:szCs w:val="22"/>
          <w:lang w:val="es-ES"/>
        </w:rPr>
        <w:t>agenda post-2015</w:t>
      </w:r>
      <w:r w:rsidRPr="00E5669F">
        <w:rPr>
          <w:sz w:val="22"/>
          <w:szCs w:val="22"/>
          <w:lang w:val="es-ES"/>
        </w:rPr>
        <w:t xml:space="preserve"> transformadora</w:t>
      </w:r>
      <w:r w:rsidR="00575C4E" w:rsidRPr="00E5669F">
        <w:rPr>
          <w:rStyle w:val="Refdenotaalpie"/>
          <w:sz w:val="22"/>
          <w:szCs w:val="22"/>
          <w:lang w:val="es-ES"/>
        </w:rPr>
        <w:footnoteReference w:id="1"/>
      </w:r>
      <w:r w:rsidR="00575C4E" w:rsidRPr="00E5669F">
        <w:rPr>
          <w:sz w:val="22"/>
          <w:szCs w:val="22"/>
          <w:lang w:val="es-ES"/>
        </w:rPr>
        <w:t>.</w:t>
      </w:r>
    </w:p>
    <w:p w14:paraId="486F56C7" w14:textId="77777777" w:rsidR="00575C4E" w:rsidRPr="00E5669F" w:rsidRDefault="00575C4E" w:rsidP="00CE7A1F">
      <w:pPr>
        <w:pStyle w:val="Default"/>
        <w:rPr>
          <w:sz w:val="22"/>
          <w:szCs w:val="22"/>
          <w:lang w:val="es-ES"/>
        </w:rPr>
      </w:pPr>
    </w:p>
    <w:p w14:paraId="7260E64F" w14:textId="77777777" w:rsidR="00CE7A1F" w:rsidRPr="00E5669F" w:rsidRDefault="00575C4E" w:rsidP="00CE7A1F">
      <w:pPr>
        <w:pStyle w:val="Default"/>
        <w:rPr>
          <w:sz w:val="22"/>
          <w:szCs w:val="22"/>
          <w:lang w:val="es-ES"/>
        </w:rPr>
      </w:pPr>
      <w:r w:rsidRPr="00E5669F">
        <w:rPr>
          <w:sz w:val="22"/>
          <w:szCs w:val="22"/>
          <w:lang w:val="es-ES"/>
        </w:rPr>
        <w:t>Recibimos con agrado el</w:t>
      </w:r>
      <w:r w:rsidR="00741148">
        <w:rPr>
          <w:sz w:val="22"/>
          <w:szCs w:val="22"/>
          <w:lang w:val="es-ES"/>
        </w:rPr>
        <w:t xml:space="preserve"> énfasis de un único marco post</w:t>
      </w:r>
      <w:r w:rsidRPr="00E5669F">
        <w:rPr>
          <w:sz w:val="22"/>
          <w:szCs w:val="22"/>
          <w:lang w:val="es-ES"/>
        </w:rPr>
        <w:t xml:space="preserve">-2015 que integre las tres dimensiones del desarrollo sostenible. También </w:t>
      </w:r>
      <w:r w:rsidR="00963DE7" w:rsidRPr="00E5669F">
        <w:rPr>
          <w:sz w:val="22"/>
          <w:szCs w:val="22"/>
          <w:lang w:val="es-ES"/>
        </w:rPr>
        <w:t>elogiamos el continuo esfuerzo</w:t>
      </w:r>
      <w:r w:rsidRPr="00E5669F">
        <w:rPr>
          <w:sz w:val="22"/>
          <w:szCs w:val="22"/>
          <w:lang w:val="es-ES"/>
        </w:rPr>
        <w:t xml:space="preserve"> por asegurar</w:t>
      </w:r>
      <w:r w:rsidR="00EE1089" w:rsidRPr="00E5669F">
        <w:rPr>
          <w:sz w:val="22"/>
          <w:szCs w:val="22"/>
          <w:lang w:val="es-ES"/>
        </w:rPr>
        <w:t xml:space="preserve"> un enfoque basado en </w:t>
      </w:r>
      <w:r w:rsidRPr="00E5669F">
        <w:rPr>
          <w:sz w:val="22"/>
          <w:szCs w:val="22"/>
          <w:lang w:val="es-ES"/>
        </w:rPr>
        <w:t xml:space="preserve">derechos humanos para el futuro marco de trabajo. Esperamos que </w:t>
      </w:r>
      <w:r w:rsidR="00EE1089" w:rsidRPr="00E5669F">
        <w:rPr>
          <w:sz w:val="22"/>
          <w:szCs w:val="22"/>
          <w:lang w:val="es-ES"/>
        </w:rPr>
        <w:t xml:space="preserve">estas iniciativas se sigan presentando en las negociaciones intergubernamentales, con la finalidad de identificar y trabajar con mayor precisión en </w:t>
      </w:r>
      <w:r w:rsidR="003C1722" w:rsidRPr="00E5669F">
        <w:rPr>
          <w:sz w:val="22"/>
          <w:szCs w:val="22"/>
          <w:lang w:val="es-ES"/>
        </w:rPr>
        <w:t xml:space="preserve">las causas estructurales de la pobreza, </w:t>
      </w:r>
      <w:r w:rsidR="00BF4D30">
        <w:rPr>
          <w:sz w:val="22"/>
          <w:szCs w:val="22"/>
          <w:lang w:val="es-ES"/>
        </w:rPr>
        <w:t xml:space="preserve">la </w:t>
      </w:r>
      <w:r w:rsidR="003C1722" w:rsidRPr="00E5669F">
        <w:rPr>
          <w:sz w:val="22"/>
          <w:szCs w:val="22"/>
          <w:lang w:val="es-ES"/>
        </w:rPr>
        <w:t xml:space="preserve">desigualdad y </w:t>
      </w:r>
      <w:r w:rsidR="00BF4D30">
        <w:rPr>
          <w:sz w:val="22"/>
          <w:szCs w:val="22"/>
          <w:lang w:val="es-ES"/>
        </w:rPr>
        <w:t xml:space="preserve">el </w:t>
      </w:r>
      <w:r w:rsidR="003C1722" w:rsidRPr="00E5669F">
        <w:rPr>
          <w:sz w:val="22"/>
          <w:szCs w:val="22"/>
          <w:lang w:val="es-ES"/>
        </w:rPr>
        <w:t xml:space="preserve">cambio climático </w:t>
      </w:r>
      <w:r w:rsidR="00963DE7" w:rsidRPr="00E5669F">
        <w:rPr>
          <w:sz w:val="22"/>
          <w:szCs w:val="22"/>
          <w:lang w:val="es-ES"/>
        </w:rPr>
        <w:t>a l</w:t>
      </w:r>
      <w:r w:rsidR="00BF4D30">
        <w:rPr>
          <w:sz w:val="22"/>
          <w:szCs w:val="22"/>
          <w:lang w:val="es-ES"/>
        </w:rPr>
        <w:t>a</w:t>
      </w:r>
      <w:r w:rsidR="00963DE7" w:rsidRPr="00E5669F">
        <w:rPr>
          <w:sz w:val="22"/>
          <w:szCs w:val="22"/>
          <w:lang w:val="es-ES"/>
        </w:rPr>
        <w:t>s que se hace referencia en las conclusiones.</w:t>
      </w:r>
    </w:p>
    <w:p w14:paraId="0A70529F" w14:textId="77777777" w:rsidR="00575C4E" w:rsidRPr="00E5669F" w:rsidRDefault="00575C4E" w:rsidP="00CE7A1F">
      <w:pPr>
        <w:pStyle w:val="Default"/>
        <w:rPr>
          <w:sz w:val="22"/>
          <w:szCs w:val="22"/>
          <w:lang w:val="es-ES"/>
        </w:rPr>
      </w:pPr>
    </w:p>
    <w:p w14:paraId="121E6339" w14:textId="77777777" w:rsidR="00963DE7" w:rsidRPr="00E5669F" w:rsidRDefault="00963DE7" w:rsidP="00CE7A1F">
      <w:pPr>
        <w:pStyle w:val="Default"/>
        <w:rPr>
          <w:sz w:val="22"/>
          <w:szCs w:val="22"/>
          <w:lang w:val="es-ES"/>
        </w:rPr>
      </w:pPr>
      <w:r w:rsidRPr="00E5669F">
        <w:rPr>
          <w:sz w:val="22"/>
          <w:szCs w:val="22"/>
          <w:lang w:val="es-ES"/>
        </w:rPr>
        <w:t xml:space="preserve">A continuación se presentan las respuestas específicas a determinados elementos de las conclusiones del Consejo. La red </w:t>
      </w:r>
      <w:r w:rsidR="006C6305">
        <w:rPr>
          <w:sz w:val="22"/>
          <w:szCs w:val="22"/>
          <w:lang w:val="es-ES"/>
        </w:rPr>
        <w:t xml:space="preserve">de la UE de </w:t>
      </w:r>
      <w:proofErr w:type="spellStart"/>
      <w:r w:rsidRPr="00E5669F">
        <w:rPr>
          <w:sz w:val="22"/>
          <w:szCs w:val="22"/>
          <w:lang w:val="es-ES"/>
        </w:rPr>
        <w:t>HelpAge</w:t>
      </w:r>
      <w:proofErr w:type="spellEnd"/>
      <w:r w:rsidR="006C6305">
        <w:rPr>
          <w:sz w:val="22"/>
          <w:szCs w:val="22"/>
          <w:lang w:val="es-ES"/>
        </w:rPr>
        <w:t xml:space="preserve"> </w:t>
      </w:r>
      <w:r w:rsidRPr="00E5669F">
        <w:rPr>
          <w:sz w:val="22"/>
          <w:szCs w:val="22"/>
          <w:lang w:val="es-ES"/>
        </w:rPr>
        <w:t>considera, en su conjunto, los siguientes como l</w:t>
      </w:r>
      <w:r w:rsidR="006C6305">
        <w:rPr>
          <w:sz w:val="22"/>
          <w:szCs w:val="22"/>
          <w:lang w:val="es-ES"/>
        </w:rPr>
        <w:t>os elementos más esenciales respecto a</w:t>
      </w:r>
      <w:r w:rsidRPr="00E5669F">
        <w:rPr>
          <w:sz w:val="22"/>
          <w:szCs w:val="22"/>
          <w:lang w:val="es-ES"/>
        </w:rPr>
        <w:t xml:space="preserve"> la realidad que afrontan las personas mayores a nivel mundial y los más relevantes para crear un </w:t>
      </w:r>
      <w:r w:rsidR="006A423F" w:rsidRPr="00E5669F">
        <w:rPr>
          <w:sz w:val="22"/>
          <w:szCs w:val="22"/>
          <w:lang w:val="es-ES"/>
        </w:rPr>
        <w:t>marco</w:t>
      </w:r>
      <w:r w:rsidRPr="00E5669F">
        <w:rPr>
          <w:sz w:val="22"/>
          <w:szCs w:val="22"/>
          <w:lang w:val="es-ES"/>
        </w:rPr>
        <w:t xml:space="preserve"> que sea realmente inclusivo para las personas de todas las edades</w:t>
      </w:r>
      <w:r w:rsidR="006A423F" w:rsidRPr="00E5669F">
        <w:rPr>
          <w:sz w:val="22"/>
          <w:szCs w:val="22"/>
          <w:lang w:val="es-ES"/>
        </w:rPr>
        <w:t>.</w:t>
      </w:r>
      <w:r w:rsidRPr="00E5669F">
        <w:rPr>
          <w:sz w:val="22"/>
          <w:szCs w:val="22"/>
          <w:lang w:val="es-ES"/>
        </w:rPr>
        <w:t xml:space="preserve"> </w:t>
      </w:r>
    </w:p>
    <w:p w14:paraId="32D143CB" w14:textId="77777777" w:rsidR="00963DE7" w:rsidRPr="00E5669F" w:rsidRDefault="00963DE7" w:rsidP="00CE7A1F">
      <w:pPr>
        <w:pStyle w:val="Default"/>
        <w:rPr>
          <w:sz w:val="22"/>
          <w:szCs w:val="22"/>
          <w:lang w:val="es-ES"/>
        </w:rPr>
      </w:pPr>
    </w:p>
    <w:p w14:paraId="2122A488" w14:textId="77777777" w:rsidR="00564748" w:rsidRPr="00E5669F" w:rsidRDefault="00564748" w:rsidP="00CE7A1F">
      <w:pPr>
        <w:pStyle w:val="Default"/>
        <w:rPr>
          <w:b/>
          <w:color w:val="C00000"/>
          <w:sz w:val="22"/>
          <w:szCs w:val="22"/>
          <w:lang w:val="es-ES"/>
        </w:rPr>
      </w:pPr>
      <w:r w:rsidRPr="00E5669F">
        <w:rPr>
          <w:b/>
          <w:color w:val="C00000"/>
          <w:sz w:val="22"/>
          <w:szCs w:val="22"/>
          <w:lang w:val="es-ES"/>
        </w:rPr>
        <w:t>No dejar a nadie atrás.</w:t>
      </w:r>
    </w:p>
    <w:p w14:paraId="490EAA75" w14:textId="77777777" w:rsidR="00564748" w:rsidRPr="00E5669F" w:rsidRDefault="00564748" w:rsidP="00CE7A1F">
      <w:pPr>
        <w:pStyle w:val="Default"/>
        <w:rPr>
          <w:sz w:val="22"/>
          <w:szCs w:val="22"/>
          <w:lang w:val="es-ES"/>
        </w:rPr>
      </w:pPr>
      <w:r w:rsidRPr="00E5669F">
        <w:rPr>
          <w:sz w:val="22"/>
          <w:szCs w:val="22"/>
          <w:lang w:val="es-ES"/>
        </w:rPr>
        <w:t xml:space="preserve">Acogemos con satisfacción la referencia explícita a las personas mayores así como la importancia de asegurar que a ninguna persona se </w:t>
      </w:r>
      <w:r w:rsidR="00FE11BF" w:rsidRPr="00E5669F">
        <w:rPr>
          <w:sz w:val="22"/>
          <w:szCs w:val="22"/>
          <w:lang w:val="es-ES"/>
        </w:rPr>
        <w:t xml:space="preserve">le nieguen los derechos humanos universales, independiente de su edad, entre otros factores. Sin embargo, observamos que la referencia es específica al contexto de vulnerabilidad. </w:t>
      </w:r>
      <w:r w:rsidR="00C95AC2" w:rsidRPr="00E5669F">
        <w:rPr>
          <w:sz w:val="22"/>
          <w:szCs w:val="22"/>
          <w:lang w:val="es-ES"/>
        </w:rPr>
        <w:t xml:space="preserve">No obstante, </w:t>
      </w:r>
      <w:r w:rsidR="00C95AC2" w:rsidRPr="002F50DD">
        <w:rPr>
          <w:b/>
          <w:sz w:val="22"/>
          <w:szCs w:val="22"/>
          <w:lang w:val="es-ES"/>
        </w:rPr>
        <w:t>también</w:t>
      </w:r>
      <w:r w:rsidR="00FE11BF" w:rsidRPr="002F50DD">
        <w:rPr>
          <w:b/>
          <w:sz w:val="22"/>
          <w:szCs w:val="22"/>
          <w:lang w:val="es-ES"/>
        </w:rPr>
        <w:t xml:space="preserve"> es importante reconocer la enorme contribución y capacidad del creciente número de personas mayores en el mundo</w:t>
      </w:r>
      <w:r w:rsidR="00FE11BF" w:rsidRPr="00E5669F">
        <w:rPr>
          <w:sz w:val="22"/>
          <w:szCs w:val="22"/>
          <w:lang w:val="es-ES"/>
        </w:rPr>
        <w:t>.</w:t>
      </w:r>
    </w:p>
    <w:p w14:paraId="52AE150F" w14:textId="77777777" w:rsidR="00CE7A1F" w:rsidRPr="00E5669F" w:rsidRDefault="00CE7A1F" w:rsidP="00CE7A1F">
      <w:pPr>
        <w:pStyle w:val="Default"/>
        <w:rPr>
          <w:sz w:val="22"/>
          <w:szCs w:val="22"/>
          <w:lang w:val="es-ES"/>
        </w:rPr>
      </w:pPr>
    </w:p>
    <w:p w14:paraId="7B6AB005" w14:textId="77777777" w:rsidR="00664771" w:rsidRPr="006C6305" w:rsidRDefault="00FE11BF" w:rsidP="00CE7A1F">
      <w:pPr>
        <w:pStyle w:val="Default"/>
        <w:rPr>
          <w:b/>
          <w:sz w:val="22"/>
          <w:szCs w:val="22"/>
          <w:lang w:val="es-ES"/>
        </w:rPr>
      </w:pPr>
      <w:r w:rsidRPr="00E5669F">
        <w:rPr>
          <w:sz w:val="22"/>
          <w:szCs w:val="22"/>
          <w:lang w:val="es-ES"/>
        </w:rPr>
        <w:t xml:space="preserve">La referencia al </w:t>
      </w:r>
      <w:r w:rsidR="00664771" w:rsidRPr="00E5669F">
        <w:rPr>
          <w:sz w:val="22"/>
          <w:szCs w:val="22"/>
          <w:lang w:val="es-ES"/>
        </w:rPr>
        <w:t>compromiso</w:t>
      </w:r>
      <w:r w:rsidRPr="00E5669F">
        <w:rPr>
          <w:sz w:val="22"/>
          <w:szCs w:val="22"/>
          <w:lang w:val="es-ES"/>
        </w:rPr>
        <w:t xml:space="preserve"> del </w:t>
      </w:r>
      <w:r w:rsidR="00664771" w:rsidRPr="00E5669F">
        <w:rPr>
          <w:sz w:val="22"/>
          <w:szCs w:val="22"/>
          <w:lang w:val="es-ES"/>
        </w:rPr>
        <w:t>Grupo de Trabajo Abierto (</w:t>
      </w:r>
      <w:r w:rsidR="00D82E88">
        <w:rPr>
          <w:sz w:val="22"/>
          <w:szCs w:val="22"/>
          <w:lang w:val="es-ES"/>
        </w:rPr>
        <w:t>GTA</w:t>
      </w:r>
      <w:r w:rsidR="00664771" w:rsidRPr="00E5669F">
        <w:rPr>
          <w:sz w:val="22"/>
          <w:szCs w:val="22"/>
          <w:lang w:val="es-ES"/>
        </w:rPr>
        <w:t>)</w:t>
      </w:r>
      <w:r w:rsidR="00DE0701">
        <w:rPr>
          <w:rStyle w:val="Refdenotaalpie"/>
          <w:sz w:val="22"/>
          <w:szCs w:val="22"/>
          <w:lang w:val="es-ES"/>
        </w:rPr>
        <w:footnoteReference w:id="2"/>
      </w:r>
      <w:r w:rsidR="00664771" w:rsidRPr="00E5669F">
        <w:rPr>
          <w:sz w:val="22"/>
          <w:szCs w:val="22"/>
          <w:lang w:val="es-ES"/>
        </w:rPr>
        <w:t xml:space="preserve"> de desglosar</w:t>
      </w:r>
      <w:r w:rsidR="00C95AC2" w:rsidRPr="00E5669F">
        <w:rPr>
          <w:sz w:val="22"/>
          <w:szCs w:val="22"/>
          <w:lang w:val="es-ES"/>
        </w:rPr>
        <w:t xml:space="preserve"> los datos por ingresos, </w:t>
      </w:r>
      <w:r w:rsidR="00664771" w:rsidRPr="00E5669F">
        <w:rPr>
          <w:sz w:val="22"/>
          <w:szCs w:val="22"/>
          <w:lang w:val="es-ES"/>
        </w:rPr>
        <w:t xml:space="preserve">edad y otros factores para garantizar que nadie se quede atrás es bienvenida. </w:t>
      </w:r>
      <w:r w:rsidR="00C95AC2" w:rsidRPr="00E5669F">
        <w:rPr>
          <w:sz w:val="22"/>
          <w:szCs w:val="22"/>
          <w:lang w:val="es-ES"/>
        </w:rPr>
        <w:t xml:space="preserve"> </w:t>
      </w:r>
      <w:r w:rsidR="00664771" w:rsidRPr="00E5669F">
        <w:rPr>
          <w:sz w:val="22"/>
          <w:szCs w:val="22"/>
          <w:lang w:val="es-ES"/>
        </w:rPr>
        <w:t xml:space="preserve">Estamos de acuerdo en que la necesidad de desarrollar capacidades estadísticas es importante, sobre todo dada la escasez de datos en relación a algunas temáticas propias de la edad avanzada. </w:t>
      </w:r>
      <w:r w:rsidR="00C95AC2" w:rsidRPr="006C6305">
        <w:rPr>
          <w:b/>
          <w:color w:val="auto"/>
          <w:sz w:val="22"/>
          <w:szCs w:val="22"/>
          <w:lang w:val="es-ES"/>
        </w:rPr>
        <w:t>Los esta</w:t>
      </w:r>
      <w:r w:rsidR="00C83DE7" w:rsidRPr="006C6305">
        <w:rPr>
          <w:b/>
          <w:color w:val="auto"/>
          <w:sz w:val="22"/>
          <w:szCs w:val="22"/>
          <w:lang w:val="es-ES"/>
        </w:rPr>
        <w:t>dos miembros de la Unión Europea deben ser conscientes del hecho que la brecha en los datos disponibles es resultado, en parte, de la invisibilidad de este asunto en el marco de los ODM.</w:t>
      </w:r>
    </w:p>
    <w:p w14:paraId="46EFAC46" w14:textId="77777777" w:rsidR="00664771" w:rsidRPr="00E5669F" w:rsidRDefault="00664771" w:rsidP="00CE7A1F">
      <w:pPr>
        <w:pStyle w:val="Default"/>
        <w:rPr>
          <w:sz w:val="22"/>
          <w:szCs w:val="22"/>
          <w:lang w:val="es-ES"/>
        </w:rPr>
      </w:pPr>
    </w:p>
    <w:p w14:paraId="73B0C807" w14:textId="77777777" w:rsidR="00C83DE7" w:rsidRPr="00E5669F" w:rsidRDefault="00E5669F" w:rsidP="00CE7A1F">
      <w:pPr>
        <w:pStyle w:val="Default"/>
        <w:rPr>
          <w:b/>
          <w:color w:val="C00000"/>
          <w:sz w:val="22"/>
          <w:szCs w:val="22"/>
          <w:lang w:val="es-ES"/>
        </w:rPr>
      </w:pPr>
      <w:r w:rsidRPr="00E5669F">
        <w:rPr>
          <w:b/>
          <w:color w:val="C00000"/>
          <w:sz w:val="22"/>
          <w:szCs w:val="22"/>
          <w:lang w:val="es-ES"/>
        </w:rPr>
        <w:t>Protección</w:t>
      </w:r>
      <w:r w:rsidR="00C83DE7" w:rsidRPr="00E5669F">
        <w:rPr>
          <w:b/>
          <w:color w:val="C00000"/>
          <w:sz w:val="22"/>
          <w:szCs w:val="22"/>
          <w:lang w:val="es-ES"/>
        </w:rPr>
        <w:t xml:space="preserve"> social.</w:t>
      </w:r>
    </w:p>
    <w:p w14:paraId="5FF6A323" w14:textId="77777777" w:rsidR="00BF4D30" w:rsidRDefault="00C83DE7" w:rsidP="00CE7A1F">
      <w:pPr>
        <w:pStyle w:val="Default"/>
        <w:rPr>
          <w:sz w:val="22"/>
          <w:szCs w:val="22"/>
          <w:lang w:val="es-ES"/>
        </w:rPr>
      </w:pPr>
      <w:r w:rsidRPr="00E5669F">
        <w:rPr>
          <w:sz w:val="22"/>
          <w:szCs w:val="22"/>
          <w:lang w:val="es-ES"/>
        </w:rPr>
        <w:t xml:space="preserve">Nos </w:t>
      </w:r>
      <w:r w:rsidR="00766EFF">
        <w:rPr>
          <w:sz w:val="22"/>
          <w:szCs w:val="22"/>
          <w:lang w:val="es-ES"/>
        </w:rPr>
        <w:t>com</w:t>
      </w:r>
      <w:r w:rsidRPr="00E5669F">
        <w:rPr>
          <w:sz w:val="22"/>
          <w:szCs w:val="22"/>
          <w:lang w:val="es-ES"/>
        </w:rPr>
        <w:t>place enco</w:t>
      </w:r>
      <w:r w:rsidR="00BF4D30">
        <w:rPr>
          <w:sz w:val="22"/>
          <w:szCs w:val="22"/>
          <w:lang w:val="es-ES"/>
        </w:rPr>
        <w:t>ntrar</w:t>
      </w:r>
      <w:r w:rsidRPr="00E5669F">
        <w:rPr>
          <w:sz w:val="22"/>
          <w:szCs w:val="22"/>
          <w:lang w:val="es-ES"/>
        </w:rPr>
        <w:t xml:space="preserve"> referencias constantes a la “protección social para todos” en línea con la recomendación </w:t>
      </w:r>
      <w:r w:rsidR="00E5669F">
        <w:rPr>
          <w:sz w:val="22"/>
          <w:szCs w:val="22"/>
          <w:lang w:val="es-ES"/>
        </w:rPr>
        <w:t>R</w:t>
      </w:r>
      <w:r w:rsidRPr="00E5669F">
        <w:rPr>
          <w:sz w:val="22"/>
          <w:szCs w:val="22"/>
          <w:lang w:val="es-ES"/>
        </w:rPr>
        <w:t xml:space="preserve">202 </w:t>
      </w:r>
      <w:r w:rsidR="00E5669F">
        <w:rPr>
          <w:sz w:val="22"/>
          <w:szCs w:val="22"/>
          <w:lang w:val="es-ES"/>
        </w:rPr>
        <w:t>sobre los pisos de</w:t>
      </w:r>
      <w:r w:rsidRPr="00E5669F">
        <w:rPr>
          <w:sz w:val="22"/>
          <w:szCs w:val="22"/>
          <w:lang w:val="es-ES"/>
        </w:rPr>
        <w:t xml:space="preserve"> protección social </w:t>
      </w:r>
      <w:r w:rsidR="00E5669F" w:rsidRPr="00E5669F">
        <w:rPr>
          <w:sz w:val="22"/>
          <w:szCs w:val="22"/>
          <w:lang w:val="es-ES"/>
        </w:rPr>
        <w:t>de la Organización Internacional del Trabajo (OIT)</w:t>
      </w:r>
      <w:r w:rsidR="00E5669F" w:rsidRPr="00E5669F">
        <w:rPr>
          <w:rStyle w:val="Refdenotaalpie"/>
          <w:sz w:val="22"/>
          <w:szCs w:val="22"/>
          <w:lang w:val="es-ES"/>
        </w:rPr>
        <w:footnoteReference w:id="3"/>
      </w:r>
      <w:r w:rsidR="00773DC5">
        <w:rPr>
          <w:sz w:val="22"/>
          <w:szCs w:val="22"/>
          <w:lang w:val="es-ES"/>
        </w:rPr>
        <w:t xml:space="preserve">, </w:t>
      </w:r>
      <w:r w:rsidR="00E5669F" w:rsidRPr="00E5669F">
        <w:rPr>
          <w:sz w:val="22"/>
          <w:szCs w:val="22"/>
          <w:lang w:val="es-ES"/>
        </w:rPr>
        <w:t xml:space="preserve"> que refleja </w:t>
      </w:r>
      <w:r w:rsidR="00773DC5">
        <w:rPr>
          <w:sz w:val="22"/>
          <w:szCs w:val="22"/>
          <w:lang w:val="es-ES"/>
        </w:rPr>
        <w:t xml:space="preserve">la propuesta del </w:t>
      </w:r>
      <w:r w:rsidR="00E5669F" w:rsidRPr="00E5669F">
        <w:rPr>
          <w:sz w:val="22"/>
          <w:szCs w:val="22"/>
          <w:lang w:val="es-ES"/>
        </w:rPr>
        <w:t>Grupo de Trabajo Abierto</w:t>
      </w:r>
      <w:r w:rsidR="00773DC5">
        <w:rPr>
          <w:sz w:val="22"/>
          <w:szCs w:val="22"/>
          <w:lang w:val="es-ES"/>
        </w:rPr>
        <w:t xml:space="preserve"> para los Objetivos de Desarrollo Sostenible, ob</w:t>
      </w:r>
      <w:r w:rsidR="00E5669F" w:rsidRPr="00E5669F">
        <w:rPr>
          <w:sz w:val="22"/>
          <w:szCs w:val="22"/>
          <w:lang w:val="es-ES"/>
        </w:rPr>
        <w:t>jetivo 1.3.  Hacemos un llamado a los estados miembros de la UE a reforzar el compromiso de implementar los pisos de protección social universal en todos los países</w:t>
      </w:r>
      <w:r w:rsidR="00BF4D30">
        <w:rPr>
          <w:sz w:val="22"/>
          <w:szCs w:val="22"/>
          <w:lang w:val="es-ES"/>
        </w:rPr>
        <w:t>.</w:t>
      </w:r>
    </w:p>
    <w:p w14:paraId="13DD5374" w14:textId="77777777" w:rsidR="00C83DE7" w:rsidRPr="00E5669F" w:rsidRDefault="00E5669F" w:rsidP="00CE7A1F">
      <w:pPr>
        <w:pStyle w:val="Default"/>
        <w:rPr>
          <w:sz w:val="22"/>
          <w:szCs w:val="22"/>
          <w:lang w:val="es-ES"/>
        </w:rPr>
      </w:pPr>
      <w:r w:rsidRPr="00E5669F">
        <w:rPr>
          <w:sz w:val="22"/>
          <w:szCs w:val="22"/>
          <w:lang w:val="es-ES"/>
        </w:rPr>
        <w:t xml:space="preserve"> </w:t>
      </w:r>
      <w:r w:rsidR="00C83DE7" w:rsidRPr="00E5669F">
        <w:rPr>
          <w:sz w:val="22"/>
          <w:szCs w:val="22"/>
          <w:lang w:val="es-ES"/>
        </w:rPr>
        <w:t xml:space="preserve"> </w:t>
      </w:r>
    </w:p>
    <w:p w14:paraId="2CD74589" w14:textId="77777777" w:rsidR="001A1331" w:rsidRPr="00B45C25" w:rsidRDefault="001A1331" w:rsidP="00CE7A1F">
      <w:pPr>
        <w:pStyle w:val="Default"/>
        <w:rPr>
          <w:b/>
          <w:color w:val="auto"/>
          <w:sz w:val="22"/>
          <w:szCs w:val="22"/>
          <w:lang w:val="es-ES"/>
        </w:rPr>
      </w:pPr>
      <w:r>
        <w:rPr>
          <w:sz w:val="22"/>
          <w:szCs w:val="22"/>
          <w:lang w:val="es-ES"/>
        </w:rPr>
        <w:lastRenderedPageBreak/>
        <w:t>E</w:t>
      </w:r>
      <w:r w:rsidR="00773DC5">
        <w:rPr>
          <w:sz w:val="22"/>
          <w:szCs w:val="22"/>
          <w:lang w:val="es-ES"/>
        </w:rPr>
        <w:t xml:space="preserve">s importante que la discusión en torno a los objetivos y los indicadores de protección </w:t>
      </w:r>
      <w:r>
        <w:rPr>
          <w:sz w:val="22"/>
          <w:szCs w:val="22"/>
          <w:lang w:val="es-ES"/>
        </w:rPr>
        <w:t xml:space="preserve">social </w:t>
      </w:r>
      <w:r w:rsidR="00773DC5">
        <w:rPr>
          <w:sz w:val="22"/>
          <w:szCs w:val="22"/>
          <w:lang w:val="es-ES"/>
        </w:rPr>
        <w:t>haga referencia explícita a las recomendaciones R</w:t>
      </w:r>
      <w:r w:rsidR="00773DC5" w:rsidRPr="00E5669F">
        <w:rPr>
          <w:sz w:val="22"/>
          <w:szCs w:val="22"/>
          <w:lang w:val="es-ES"/>
        </w:rPr>
        <w:t>202</w:t>
      </w:r>
      <w:r w:rsidR="00773DC5">
        <w:rPr>
          <w:sz w:val="22"/>
          <w:szCs w:val="22"/>
          <w:lang w:val="es-ES"/>
        </w:rPr>
        <w:t xml:space="preserve"> de la OIT, que se constituye</w:t>
      </w:r>
      <w:r>
        <w:rPr>
          <w:sz w:val="22"/>
          <w:szCs w:val="22"/>
          <w:lang w:val="es-ES"/>
        </w:rPr>
        <w:t>n</w:t>
      </w:r>
      <w:r w:rsidR="00773DC5">
        <w:rPr>
          <w:sz w:val="22"/>
          <w:szCs w:val="22"/>
          <w:lang w:val="es-ES"/>
        </w:rPr>
        <w:t xml:space="preserve"> como el marco normativo más adecuado para medir la extensión de la protección social. </w:t>
      </w:r>
      <w:r w:rsidRPr="00B45C25">
        <w:rPr>
          <w:b/>
          <w:color w:val="auto"/>
          <w:sz w:val="22"/>
          <w:szCs w:val="22"/>
          <w:lang w:val="es-ES"/>
        </w:rPr>
        <w:t xml:space="preserve">La </w:t>
      </w:r>
      <w:r w:rsidRPr="00B45C25">
        <w:rPr>
          <w:b/>
          <w:i/>
          <w:color w:val="auto"/>
          <w:sz w:val="22"/>
          <w:szCs w:val="22"/>
          <w:lang w:val="es-ES"/>
        </w:rPr>
        <w:t>adecuación</w:t>
      </w:r>
      <w:r w:rsidRPr="00B45C25">
        <w:rPr>
          <w:b/>
          <w:color w:val="auto"/>
          <w:sz w:val="22"/>
          <w:szCs w:val="22"/>
          <w:lang w:val="es-ES"/>
        </w:rPr>
        <w:t xml:space="preserve"> de los programas de protección social también debe ser reconocida como un aspecto clave, aunque es importante destacar que podría ser necesario  trabajo adicional para acordar puntos de referencia apropiados y establecer una base para el desarrollo de los mismos.</w:t>
      </w:r>
    </w:p>
    <w:p w14:paraId="59935BAE" w14:textId="77777777" w:rsidR="00E5669F" w:rsidRPr="00AA4E7C" w:rsidRDefault="00E5669F" w:rsidP="00CE7A1F">
      <w:pPr>
        <w:pStyle w:val="Default"/>
        <w:rPr>
          <w:color w:val="auto"/>
          <w:sz w:val="22"/>
          <w:szCs w:val="22"/>
          <w:lang w:val="es-ES"/>
        </w:rPr>
      </w:pPr>
    </w:p>
    <w:p w14:paraId="053103EC" w14:textId="77777777" w:rsidR="00CE7A1F" w:rsidRPr="00E5669F" w:rsidRDefault="00F16DF1" w:rsidP="00CE7A1F">
      <w:pPr>
        <w:pStyle w:val="Default"/>
        <w:rPr>
          <w:i/>
          <w:sz w:val="22"/>
          <w:szCs w:val="22"/>
          <w:lang w:val="es-ES"/>
        </w:rPr>
      </w:pPr>
      <w:r>
        <w:rPr>
          <w:b/>
          <w:color w:val="C00000"/>
          <w:sz w:val="22"/>
          <w:szCs w:val="22"/>
          <w:lang w:val="es-ES"/>
        </w:rPr>
        <w:t>Salud</w:t>
      </w:r>
    </w:p>
    <w:p w14:paraId="447022D1" w14:textId="77777777" w:rsidR="00CE7A1F" w:rsidRDefault="00F16DF1" w:rsidP="00D82E88">
      <w:pPr>
        <w:pStyle w:val="Default"/>
        <w:rPr>
          <w:sz w:val="22"/>
          <w:szCs w:val="22"/>
          <w:lang w:val="es-ES"/>
        </w:rPr>
      </w:pPr>
      <w:r>
        <w:rPr>
          <w:sz w:val="22"/>
          <w:szCs w:val="22"/>
          <w:lang w:val="es-ES"/>
        </w:rPr>
        <w:t>Nos complace que la importancia crítica de la Cobertura Universal en Salud (</w:t>
      </w:r>
      <w:r w:rsidRPr="00B45C25">
        <w:rPr>
          <w:color w:val="auto"/>
          <w:sz w:val="22"/>
          <w:szCs w:val="22"/>
          <w:lang w:val="es-ES"/>
        </w:rPr>
        <w:t>UHC, por sus siglas en ingles</w:t>
      </w:r>
      <w:r>
        <w:rPr>
          <w:sz w:val="22"/>
          <w:szCs w:val="22"/>
          <w:lang w:val="es-ES"/>
        </w:rPr>
        <w:t>) sea reconocida c</w:t>
      </w:r>
      <w:r w:rsidR="00DE2FDE">
        <w:rPr>
          <w:sz w:val="22"/>
          <w:szCs w:val="22"/>
          <w:lang w:val="es-ES"/>
        </w:rPr>
        <w:t xml:space="preserve">omo fundamental para el logro del desarrollo sostenible. </w:t>
      </w:r>
      <w:r w:rsidR="00DE2FDE" w:rsidRPr="00B45C25">
        <w:rPr>
          <w:b/>
          <w:sz w:val="22"/>
          <w:szCs w:val="22"/>
          <w:lang w:val="es-ES"/>
        </w:rPr>
        <w:t>Es decepcionante, sin embargo, que las enfermedades no transmisibles (ENT) no sean mencionadas en absoluto</w:t>
      </w:r>
      <w:r w:rsidR="00DE2FDE">
        <w:rPr>
          <w:sz w:val="22"/>
          <w:szCs w:val="22"/>
          <w:lang w:val="es-ES"/>
        </w:rPr>
        <w:t xml:space="preserve">, </w:t>
      </w:r>
      <w:r w:rsidR="00D82E88">
        <w:rPr>
          <w:sz w:val="22"/>
          <w:szCs w:val="22"/>
          <w:lang w:val="es-ES"/>
        </w:rPr>
        <w:t>a pesar de representar una parte importante del aumento en la tasa de morbilidad mundial y de ser una condición que afecta de manera desproporcionada a las personas mayores.</w:t>
      </w:r>
      <w:r w:rsidR="00CE7A1F" w:rsidRPr="00E5669F">
        <w:rPr>
          <w:sz w:val="22"/>
          <w:szCs w:val="22"/>
          <w:lang w:val="es-ES"/>
        </w:rPr>
        <w:t xml:space="preserve"> </w:t>
      </w:r>
    </w:p>
    <w:p w14:paraId="1CF47A9A" w14:textId="77777777" w:rsidR="00D82E88" w:rsidRDefault="00D82E88" w:rsidP="00D82E88">
      <w:pPr>
        <w:pStyle w:val="Default"/>
        <w:rPr>
          <w:sz w:val="22"/>
          <w:szCs w:val="22"/>
          <w:lang w:val="es-ES"/>
        </w:rPr>
      </w:pPr>
    </w:p>
    <w:p w14:paraId="6A103524" w14:textId="77777777" w:rsidR="00D82E88" w:rsidRPr="00E5669F" w:rsidRDefault="00D82E88" w:rsidP="00D82E88">
      <w:pPr>
        <w:pStyle w:val="Default"/>
        <w:rPr>
          <w:sz w:val="22"/>
          <w:szCs w:val="22"/>
          <w:lang w:val="es-ES"/>
        </w:rPr>
      </w:pPr>
      <w:r>
        <w:rPr>
          <w:sz w:val="22"/>
          <w:szCs w:val="22"/>
          <w:lang w:val="es-ES"/>
        </w:rPr>
        <w:t>Animamos a los estados miembros de la UE a continuar apoyando el enfoque del ciclo de vida que presenta el objetivo 3 del documento publicado por el Grupo de Trabajo Abierto que busca “</w:t>
      </w:r>
      <w:r w:rsidRPr="00BF4D30">
        <w:rPr>
          <w:i/>
          <w:sz w:val="22"/>
          <w:szCs w:val="22"/>
          <w:lang w:val="es-ES"/>
        </w:rPr>
        <w:t>Asegurar una vida sana y promover el bienestar para todos en todas las edades</w:t>
      </w:r>
      <w:r>
        <w:rPr>
          <w:sz w:val="22"/>
          <w:szCs w:val="22"/>
          <w:lang w:val="es-ES"/>
        </w:rPr>
        <w:t xml:space="preserve">” </w:t>
      </w:r>
      <w:r w:rsidR="002F5D6B">
        <w:rPr>
          <w:sz w:val="22"/>
          <w:szCs w:val="22"/>
          <w:lang w:val="es-ES"/>
        </w:rPr>
        <w:t xml:space="preserve"> </w:t>
      </w:r>
      <w:r w:rsidR="005F637D">
        <w:rPr>
          <w:sz w:val="22"/>
          <w:szCs w:val="22"/>
          <w:lang w:val="es-ES"/>
        </w:rPr>
        <w:t xml:space="preserve">para garantizar los objetivos específicos en Cobertura Universal en Salud y las ENT. Solicitamos a los estados miembros </w:t>
      </w:r>
      <w:r w:rsidR="00681EF0">
        <w:rPr>
          <w:sz w:val="22"/>
          <w:szCs w:val="22"/>
          <w:lang w:val="es-ES"/>
        </w:rPr>
        <w:t>utilizar el término “mortalidad evitable” en lugar de la expresión discriminatoria de “mortalidad prematura”.</w:t>
      </w:r>
    </w:p>
    <w:p w14:paraId="0AD3A60F" w14:textId="77777777" w:rsidR="00F16DF1" w:rsidRPr="00E5669F" w:rsidRDefault="00F16DF1" w:rsidP="00CE7A1F">
      <w:pPr>
        <w:pStyle w:val="Default"/>
        <w:rPr>
          <w:sz w:val="22"/>
          <w:szCs w:val="22"/>
          <w:lang w:val="es-ES"/>
        </w:rPr>
      </w:pPr>
    </w:p>
    <w:p w14:paraId="74964A37" w14:textId="77777777" w:rsidR="00681EF0" w:rsidRPr="00E5669F" w:rsidRDefault="00681EF0" w:rsidP="00CE7A1F">
      <w:pPr>
        <w:pStyle w:val="Default"/>
        <w:rPr>
          <w:b/>
          <w:color w:val="C00000"/>
          <w:sz w:val="22"/>
          <w:szCs w:val="22"/>
          <w:lang w:val="es-ES"/>
        </w:rPr>
      </w:pPr>
      <w:r>
        <w:rPr>
          <w:b/>
          <w:color w:val="C00000"/>
          <w:sz w:val="22"/>
          <w:szCs w:val="22"/>
          <w:lang w:val="es-ES"/>
        </w:rPr>
        <w:t>Dinámicas de la población y el envejecimiento.</w:t>
      </w:r>
    </w:p>
    <w:p w14:paraId="44AA05BC" w14:textId="77777777" w:rsidR="00681EF0" w:rsidRDefault="00681EF0" w:rsidP="00CE7A1F">
      <w:pPr>
        <w:pStyle w:val="Default"/>
        <w:rPr>
          <w:sz w:val="22"/>
          <w:szCs w:val="22"/>
          <w:lang w:val="es-ES"/>
        </w:rPr>
      </w:pPr>
      <w:r>
        <w:rPr>
          <w:sz w:val="22"/>
          <w:szCs w:val="22"/>
          <w:lang w:val="es-ES"/>
        </w:rPr>
        <w:t xml:space="preserve">Las Conclusiones del Consejo </w:t>
      </w:r>
      <w:r w:rsidR="00DA2747">
        <w:rPr>
          <w:sz w:val="22"/>
          <w:szCs w:val="22"/>
          <w:lang w:val="es-ES"/>
        </w:rPr>
        <w:t xml:space="preserve">destacan algunas cuestiones transversales, incluida la migración y la movilidad. Este enfoque centrado en solo ciertos aspectos de la dinámica de la población es demasiado limitado en nuestra opinión. Las </w:t>
      </w:r>
      <w:r w:rsidR="000B21B8">
        <w:rPr>
          <w:sz w:val="22"/>
          <w:szCs w:val="22"/>
          <w:lang w:val="es-ES"/>
        </w:rPr>
        <w:t>comunicaciones de la</w:t>
      </w:r>
      <w:r w:rsidR="00AA4E7C" w:rsidRPr="00AA4E7C">
        <w:rPr>
          <w:color w:val="auto"/>
          <w:sz w:val="22"/>
          <w:szCs w:val="22"/>
          <w:lang w:val="es-ES"/>
        </w:rPr>
        <w:t xml:space="preserve"> Comisión Europea</w:t>
      </w:r>
      <w:r w:rsidR="000B21B8" w:rsidRPr="00AA4E7C">
        <w:rPr>
          <w:color w:val="984806" w:themeColor="accent6" w:themeShade="80"/>
          <w:sz w:val="22"/>
          <w:szCs w:val="22"/>
          <w:lang w:val="es-ES"/>
        </w:rPr>
        <w:t xml:space="preserve"> </w:t>
      </w:r>
      <w:r w:rsidR="000B21B8">
        <w:rPr>
          <w:sz w:val="22"/>
          <w:szCs w:val="22"/>
          <w:lang w:val="es-ES"/>
        </w:rPr>
        <w:t>sobre la agenda post-2015 han enfatizado las implicaciones significativas del</w:t>
      </w:r>
      <w:r w:rsidR="000C1230">
        <w:rPr>
          <w:sz w:val="22"/>
          <w:szCs w:val="22"/>
          <w:lang w:val="es-ES"/>
        </w:rPr>
        <w:t xml:space="preserve"> envejecimiento de la población, en especial en los países en desarrollo </w:t>
      </w:r>
      <w:r w:rsidR="00AA4E7C">
        <w:rPr>
          <w:sz w:val="22"/>
          <w:szCs w:val="22"/>
          <w:lang w:val="es-ES"/>
        </w:rPr>
        <w:t>en los años próximos</w:t>
      </w:r>
      <w:r w:rsidR="00AA4E7C" w:rsidRPr="00E5669F">
        <w:rPr>
          <w:rStyle w:val="Refdenotaalpie"/>
          <w:sz w:val="22"/>
          <w:szCs w:val="22"/>
          <w:lang w:val="es-ES"/>
        </w:rPr>
        <w:footnoteReference w:id="4"/>
      </w:r>
      <w:r w:rsidR="00AA4E7C">
        <w:rPr>
          <w:sz w:val="22"/>
          <w:szCs w:val="22"/>
          <w:lang w:val="es-ES"/>
        </w:rPr>
        <w:t xml:space="preserve"> y la necesidad de asegurar que las dinámicas de la población y el envejecimiento se incorporen en todos los aspectos del marco</w:t>
      </w:r>
      <w:r w:rsidR="00AA4E7C" w:rsidRPr="00E5669F">
        <w:rPr>
          <w:rStyle w:val="Refdenotaalpie"/>
          <w:sz w:val="22"/>
          <w:szCs w:val="22"/>
          <w:lang w:val="es-ES"/>
        </w:rPr>
        <w:footnoteReference w:id="5"/>
      </w:r>
      <w:r w:rsidR="00AA4E7C" w:rsidRPr="00AA4E7C">
        <w:rPr>
          <w:sz w:val="22"/>
          <w:szCs w:val="22"/>
          <w:lang w:val="es-ES"/>
        </w:rPr>
        <w:t>.</w:t>
      </w:r>
      <w:r w:rsidR="00AA4E7C">
        <w:rPr>
          <w:sz w:val="22"/>
          <w:szCs w:val="22"/>
          <w:lang w:val="es-ES"/>
        </w:rPr>
        <w:t xml:space="preserve"> </w:t>
      </w:r>
      <w:r w:rsidR="002F5D6B">
        <w:rPr>
          <w:sz w:val="22"/>
          <w:szCs w:val="22"/>
          <w:lang w:val="es-ES"/>
        </w:rPr>
        <w:t>P</w:t>
      </w:r>
      <w:r w:rsidR="00AA4E7C">
        <w:rPr>
          <w:sz w:val="22"/>
          <w:szCs w:val="22"/>
          <w:lang w:val="es-ES"/>
        </w:rPr>
        <w:t xml:space="preserve">or lo tanto </w:t>
      </w:r>
      <w:r w:rsidR="002F5D6B" w:rsidRPr="00761674">
        <w:rPr>
          <w:b/>
          <w:sz w:val="22"/>
          <w:szCs w:val="22"/>
          <w:lang w:val="es-ES"/>
        </w:rPr>
        <w:t xml:space="preserve">es </w:t>
      </w:r>
      <w:r w:rsidR="00AA4E7C" w:rsidRPr="00761674">
        <w:rPr>
          <w:b/>
          <w:sz w:val="22"/>
          <w:szCs w:val="22"/>
          <w:lang w:val="es-ES"/>
        </w:rPr>
        <w:t>preocupante que tanto la dinámica de la población como el envejecimiento hayan sido omitidos de las recientes Conclusiones del Consejo de la UE.</w:t>
      </w:r>
    </w:p>
    <w:p w14:paraId="49AACA8C" w14:textId="77777777" w:rsidR="00DA2747" w:rsidRDefault="00DA2747" w:rsidP="00CE7A1F">
      <w:pPr>
        <w:pStyle w:val="Default"/>
        <w:rPr>
          <w:sz w:val="22"/>
          <w:szCs w:val="22"/>
          <w:lang w:val="es-ES"/>
        </w:rPr>
      </w:pPr>
    </w:p>
    <w:p w14:paraId="3829411D" w14:textId="77777777" w:rsidR="00AA4E7C" w:rsidRDefault="00AA4E7C" w:rsidP="00CE7A1F">
      <w:pPr>
        <w:pStyle w:val="Default"/>
        <w:rPr>
          <w:sz w:val="22"/>
          <w:szCs w:val="22"/>
          <w:lang w:val="es-ES"/>
        </w:rPr>
      </w:pPr>
      <w:r>
        <w:rPr>
          <w:sz w:val="22"/>
          <w:szCs w:val="22"/>
          <w:lang w:val="es-ES"/>
        </w:rPr>
        <w:t>El envejecimiento poblacional es un triunfo de los esfuerzos de</w:t>
      </w:r>
      <w:r w:rsidR="002F5D6B">
        <w:rPr>
          <w:sz w:val="22"/>
          <w:szCs w:val="22"/>
          <w:lang w:val="es-ES"/>
        </w:rPr>
        <w:t>l</w:t>
      </w:r>
      <w:r>
        <w:rPr>
          <w:sz w:val="22"/>
          <w:szCs w:val="22"/>
          <w:lang w:val="es-ES"/>
        </w:rPr>
        <w:t xml:space="preserve"> desarrollo  y un componente central de la transición demográfica, que está transformando las sociedades y las economías de todo el mundo. Los Estados miembros de la UE no debería</w:t>
      </w:r>
      <w:r w:rsidR="002F5D6B">
        <w:rPr>
          <w:sz w:val="22"/>
          <w:szCs w:val="22"/>
          <w:lang w:val="es-ES"/>
        </w:rPr>
        <w:t>n</w:t>
      </w:r>
      <w:r>
        <w:rPr>
          <w:sz w:val="22"/>
          <w:szCs w:val="22"/>
          <w:lang w:val="es-ES"/>
        </w:rPr>
        <w:t xml:space="preserve"> tratar </w:t>
      </w:r>
      <w:r w:rsidRPr="00761674">
        <w:rPr>
          <w:sz w:val="22"/>
          <w:szCs w:val="22"/>
          <w:lang w:val="es-ES"/>
        </w:rPr>
        <w:t>esta mega-tendencia</w:t>
      </w:r>
      <w:r>
        <w:rPr>
          <w:sz w:val="22"/>
          <w:szCs w:val="22"/>
          <w:lang w:val="es-ES"/>
        </w:rPr>
        <w:t xml:space="preserve"> global</w:t>
      </w:r>
      <w:r w:rsidR="00761674">
        <w:rPr>
          <w:sz w:val="22"/>
          <w:szCs w:val="22"/>
          <w:lang w:val="es-ES"/>
        </w:rPr>
        <w:t xml:space="preserve"> de forma complaciente </w:t>
      </w:r>
      <w:r w:rsidR="007D314E">
        <w:rPr>
          <w:sz w:val="22"/>
          <w:szCs w:val="22"/>
          <w:lang w:val="es-ES"/>
        </w:rPr>
        <w:t>y por el contrario tendría</w:t>
      </w:r>
      <w:r w:rsidR="002F5D6B">
        <w:rPr>
          <w:sz w:val="22"/>
          <w:szCs w:val="22"/>
          <w:lang w:val="es-ES"/>
        </w:rPr>
        <w:t>n</w:t>
      </w:r>
      <w:r w:rsidR="007D314E">
        <w:rPr>
          <w:sz w:val="22"/>
          <w:szCs w:val="22"/>
          <w:lang w:val="es-ES"/>
        </w:rPr>
        <w:t xml:space="preserve"> que asegurar </w:t>
      </w:r>
      <w:r w:rsidR="00E71B69">
        <w:rPr>
          <w:sz w:val="22"/>
          <w:szCs w:val="22"/>
          <w:lang w:val="es-ES"/>
        </w:rPr>
        <w:t>que las implicaciones se aborden plenamente en todos los aspectos del marco futuro.</w:t>
      </w:r>
    </w:p>
    <w:p w14:paraId="21B3D0BA" w14:textId="77777777" w:rsidR="00CE7A1F" w:rsidRPr="00AA4E7C" w:rsidRDefault="00CE7A1F" w:rsidP="00CE7A1F">
      <w:pPr>
        <w:pStyle w:val="Default"/>
        <w:rPr>
          <w:sz w:val="22"/>
          <w:szCs w:val="22"/>
          <w:lang w:val="es-ES"/>
        </w:rPr>
      </w:pPr>
    </w:p>
    <w:p w14:paraId="0A5B2539" w14:textId="77777777" w:rsidR="00E71B69" w:rsidRPr="00E71B69" w:rsidRDefault="00E71B69" w:rsidP="00CE7A1F">
      <w:pPr>
        <w:pStyle w:val="Default"/>
        <w:rPr>
          <w:b/>
          <w:color w:val="C00000"/>
          <w:sz w:val="22"/>
          <w:szCs w:val="22"/>
          <w:lang w:val="es-ES"/>
        </w:rPr>
      </w:pPr>
      <w:r w:rsidRPr="00E71B69">
        <w:rPr>
          <w:b/>
          <w:color w:val="C00000"/>
          <w:sz w:val="22"/>
          <w:szCs w:val="22"/>
          <w:lang w:val="es-ES"/>
        </w:rPr>
        <w:t>Igualdad de género y empoderamiento.</w:t>
      </w:r>
    </w:p>
    <w:p w14:paraId="65AFB147" w14:textId="77777777" w:rsidR="00E71B69" w:rsidRDefault="00E71B69" w:rsidP="00CE7A1F">
      <w:pPr>
        <w:pStyle w:val="Default"/>
        <w:rPr>
          <w:sz w:val="22"/>
          <w:szCs w:val="22"/>
          <w:lang w:val="es-ES"/>
        </w:rPr>
      </w:pPr>
      <w:r>
        <w:rPr>
          <w:sz w:val="22"/>
          <w:szCs w:val="22"/>
          <w:lang w:val="es-ES"/>
        </w:rPr>
        <w:t xml:space="preserve">Nos complace </w:t>
      </w:r>
      <w:r w:rsidR="00534675">
        <w:rPr>
          <w:sz w:val="22"/>
          <w:szCs w:val="22"/>
          <w:lang w:val="es-ES"/>
        </w:rPr>
        <w:t>ver el fuerte énfasis en la igualdad de género y empoderamiento de las mujeres, así como la búsqueda del fin de la discriminación en todas sus formas</w:t>
      </w:r>
      <w:r w:rsidR="002F5D6B">
        <w:rPr>
          <w:sz w:val="22"/>
          <w:szCs w:val="22"/>
          <w:lang w:val="es-ES"/>
        </w:rPr>
        <w:t>,</w:t>
      </w:r>
      <w:r w:rsidR="00534675">
        <w:rPr>
          <w:sz w:val="22"/>
          <w:szCs w:val="22"/>
          <w:lang w:val="es-ES"/>
        </w:rPr>
        <w:t xml:space="preserve"> y la violencia contra las mujeres y las niñas. Sin embargo, el hecho  </w:t>
      </w:r>
      <w:r w:rsidR="00353613">
        <w:rPr>
          <w:sz w:val="22"/>
          <w:szCs w:val="22"/>
          <w:lang w:val="es-ES"/>
        </w:rPr>
        <w:t>de que las C</w:t>
      </w:r>
      <w:r w:rsidR="00534675">
        <w:rPr>
          <w:sz w:val="22"/>
          <w:szCs w:val="22"/>
          <w:lang w:val="es-ES"/>
        </w:rPr>
        <w:t xml:space="preserve">onclusiones </w:t>
      </w:r>
      <w:r w:rsidR="00353613">
        <w:rPr>
          <w:sz w:val="22"/>
          <w:szCs w:val="22"/>
          <w:lang w:val="es-ES"/>
        </w:rPr>
        <w:t xml:space="preserve">del Consejo </w:t>
      </w:r>
      <w:r w:rsidR="00534675">
        <w:rPr>
          <w:sz w:val="22"/>
          <w:szCs w:val="22"/>
          <w:lang w:val="es-ES"/>
        </w:rPr>
        <w:t>no refuercen el lenguaje de inclusión de edad</w:t>
      </w:r>
      <w:r w:rsidR="00353613">
        <w:rPr>
          <w:sz w:val="22"/>
          <w:szCs w:val="22"/>
          <w:lang w:val="es-ES"/>
        </w:rPr>
        <w:t xml:space="preserve"> de la Plataforma de Acción de Beijing y el documento final del Grupo de Trabajo Abierto es una</w:t>
      </w:r>
      <w:r w:rsidR="00353613" w:rsidRPr="002F5D6B">
        <w:rPr>
          <w:color w:val="984806" w:themeColor="accent6" w:themeShade="80"/>
          <w:sz w:val="22"/>
          <w:szCs w:val="22"/>
          <w:lang w:val="es-ES"/>
        </w:rPr>
        <w:t xml:space="preserve"> </w:t>
      </w:r>
      <w:r w:rsidR="00353613" w:rsidRPr="00F401BC">
        <w:rPr>
          <w:color w:val="auto"/>
          <w:sz w:val="22"/>
          <w:szCs w:val="22"/>
          <w:lang w:val="es-ES"/>
        </w:rPr>
        <w:t>oportunidad perdida</w:t>
      </w:r>
      <w:r w:rsidR="00353613">
        <w:rPr>
          <w:sz w:val="22"/>
          <w:szCs w:val="22"/>
          <w:lang w:val="es-ES"/>
        </w:rPr>
        <w:t>. La Plataforma de Acción</w:t>
      </w:r>
      <w:r w:rsidR="00353613" w:rsidRPr="00353613">
        <w:rPr>
          <w:sz w:val="22"/>
          <w:szCs w:val="22"/>
          <w:lang w:val="es-ES"/>
        </w:rPr>
        <w:t xml:space="preserve"> de Beijing destaca que los compromisos y las medidas que promuevan </w:t>
      </w:r>
      <w:r w:rsidR="00353613" w:rsidRPr="00761674">
        <w:rPr>
          <w:b/>
          <w:sz w:val="22"/>
          <w:szCs w:val="22"/>
          <w:lang w:val="es-ES"/>
        </w:rPr>
        <w:t>la igualdad de género y los derechos de las “</w:t>
      </w:r>
      <w:r w:rsidR="00353613" w:rsidRPr="00761674">
        <w:rPr>
          <w:b/>
          <w:i/>
          <w:sz w:val="22"/>
          <w:szCs w:val="22"/>
          <w:lang w:val="es-ES"/>
        </w:rPr>
        <w:t xml:space="preserve">niñas y </w:t>
      </w:r>
      <w:r w:rsidR="00353613" w:rsidRPr="00761674">
        <w:rPr>
          <w:b/>
          <w:i/>
          <w:sz w:val="22"/>
          <w:szCs w:val="22"/>
          <w:lang w:val="es-ES"/>
        </w:rPr>
        <w:lastRenderedPageBreak/>
        <w:t>mujeres de todas las edades</w:t>
      </w:r>
      <w:r w:rsidR="00353613" w:rsidRPr="00761674">
        <w:rPr>
          <w:b/>
          <w:sz w:val="22"/>
          <w:szCs w:val="22"/>
          <w:lang w:val="es-ES"/>
        </w:rPr>
        <w:t>”</w:t>
      </w:r>
      <w:r w:rsidR="00F86059" w:rsidRPr="00761674">
        <w:rPr>
          <w:b/>
          <w:sz w:val="22"/>
          <w:szCs w:val="22"/>
          <w:lang w:val="es-ES"/>
        </w:rPr>
        <w:t xml:space="preserve"> deben estén presentes en todo el documento.</w:t>
      </w:r>
      <w:r w:rsidR="00F86059">
        <w:rPr>
          <w:sz w:val="22"/>
          <w:szCs w:val="22"/>
          <w:lang w:val="es-ES"/>
        </w:rPr>
        <w:t xml:space="preserve"> El documento final del GTA, en el objetivo 5, subraya la importancia de lograr la igualdad de género y el empoderamiento de “</w:t>
      </w:r>
      <w:r w:rsidR="00F86059">
        <w:rPr>
          <w:i/>
          <w:sz w:val="22"/>
          <w:szCs w:val="22"/>
          <w:lang w:val="es-ES"/>
        </w:rPr>
        <w:t>todas las mujeres y niñas”.</w:t>
      </w:r>
    </w:p>
    <w:p w14:paraId="2030EC21" w14:textId="77777777" w:rsidR="00F86059" w:rsidRDefault="00F86059" w:rsidP="00CE7A1F">
      <w:pPr>
        <w:pStyle w:val="Default"/>
        <w:rPr>
          <w:sz w:val="22"/>
          <w:szCs w:val="22"/>
          <w:lang w:val="es-ES"/>
        </w:rPr>
      </w:pPr>
    </w:p>
    <w:p w14:paraId="0FDF60B8" w14:textId="77777777" w:rsidR="00F86059" w:rsidRPr="00F86059" w:rsidRDefault="00F86059" w:rsidP="00CE7A1F">
      <w:pPr>
        <w:pStyle w:val="Default"/>
        <w:rPr>
          <w:sz w:val="22"/>
          <w:szCs w:val="22"/>
          <w:lang w:val="es-ES"/>
        </w:rPr>
      </w:pPr>
      <w:r>
        <w:rPr>
          <w:sz w:val="22"/>
          <w:szCs w:val="22"/>
          <w:lang w:val="es-ES"/>
        </w:rPr>
        <w:t xml:space="preserve">Dado que las poblaciones envejecen dramáticamente en todo el mundo y las mujeres viven vidas más largas que nunca, </w:t>
      </w:r>
      <w:r w:rsidRPr="002C0942">
        <w:rPr>
          <w:b/>
          <w:sz w:val="22"/>
          <w:szCs w:val="22"/>
          <w:lang w:val="es-ES"/>
        </w:rPr>
        <w:t>es crucial que los Estados miembros no escatimen en esfuerzos para cumplir con los compromisos adquiridos en la Plataforma de Acción de Beijing</w:t>
      </w:r>
      <w:r>
        <w:rPr>
          <w:sz w:val="22"/>
          <w:szCs w:val="22"/>
          <w:lang w:val="es-ES"/>
        </w:rPr>
        <w:t>. Solicitamos insistentemente a los estados miembros de la Unión Europea  adoptar constantemente el lenguaje de “</w:t>
      </w:r>
      <w:r w:rsidRPr="00F86059">
        <w:rPr>
          <w:i/>
          <w:sz w:val="22"/>
          <w:szCs w:val="22"/>
          <w:lang w:val="es-ES"/>
        </w:rPr>
        <w:t>niñas y mujeres de todas las edades</w:t>
      </w:r>
      <w:r>
        <w:rPr>
          <w:sz w:val="22"/>
          <w:szCs w:val="22"/>
          <w:lang w:val="es-ES"/>
        </w:rPr>
        <w:t>” en las próximas negociaciones.</w:t>
      </w:r>
    </w:p>
    <w:p w14:paraId="078E2533" w14:textId="77777777" w:rsidR="00F86059" w:rsidRPr="00F86059" w:rsidRDefault="00CE7A1F" w:rsidP="00CE7A1F">
      <w:pPr>
        <w:pStyle w:val="Default"/>
        <w:rPr>
          <w:b/>
          <w:lang w:val="es-ES"/>
        </w:rPr>
      </w:pPr>
      <w:r w:rsidRPr="00F86059">
        <w:rPr>
          <w:sz w:val="22"/>
          <w:szCs w:val="22"/>
          <w:lang w:val="es-ES"/>
        </w:rPr>
        <w:br/>
      </w:r>
      <w:r w:rsidR="00F86059" w:rsidRPr="00F86059">
        <w:rPr>
          <w:b/>
          <w:lang w:val="es-ES"/>
        </w:rPr>
        <w:t>Deseamos a los estados miembros de la UE negociaciones fruc</w:t>
      </w:r>
      <w:r w:rsidR="00F86059">
        <w:rPr>
          <w:b/>
          <w:lang w:val="es-ES"/>
        </w:rPr>
        <w:t>tíferas durante el 2015 y esperamos un dialogo continuo sobre estos temas.</w:t>
      </w:r>
    </w:p>
    <w:p w14:paraId="7335CB66" w14:textId="77777777" w:rsidR="00CE7A1F" w:rsidRPr="00E5669F" w:rsidRDefault="00CE7A1F" w:rsidP="00CE7A1F">
      <w:pPr>
        <w:pBdr>
          <w:bottom w:val="single" w:sz="4" w:space="1" w:color="auto"/>
        </w:pBdr>
        <w:rPr>
          <w:b/>
          <w:lang w:val="es-ES"/>
        </w:rPr>
      </w:pPr>
    </w:p>
    <w:p w14:paraId="71C8F8E5" w14:textId="77777777" w:rsidR="00CE7A1F" w:rsidRPr="002F5D6B" w:rsidRDefault="00CE7A1F" w:rsidP="00CE7A1F">
      <w:pPr>
        <w:tabs>
          <w:tab w:val="left" w:pos="3570"/>
        </w:tabs>
        <w:jc w:val="center"/>
        <w:rPr>
          <w:lang w:val="es-ES"/>
        </w:rPr>
      </w:pPr>
      <w:r w:rsidRPr="002F5D6B">
        <w:rPr>
          <w:lang w:val="es-ES"/>
        </w:rPr>
        <w:t>Contact</w:t>
      </w:r>
      <w:r w:rsidR="002F5D6B" w:rsidRPr="002F5D6B">
        <w:rPr>
          <w:lang w:val="es-ES"/>
        </w:rPr>
        <w:t>o</w:t>
      </w:r>
      <w:r w:rsidRPr="002F5D6B">
        <w:rPr>
          <w:lang w:val="es-ES"/>
        </w:rPr>
        <w:t xml:space="preserve">: </w:t>
      </w:r>
      <w:proofErr w:type="spellStart"/>
      <w:r w:rsidRPr="002F5D6B">
        <w:rPr>
          <w:lang w:val="es-ES"/>
        </w:rPr>
        <w:t>HelpAge</w:t>
      </w:r>
      <w:proofErr w:type="spellEnd"/>
      <w:r w:rsidRPr="002F5D6B">
        <w:rPr>
          <w:lang w:val="es-ES"/>
        </w:rPr>
        <w:t xml:space="preserve"> </w:t>
      </w:r>
      <w:r w:rsidR="002F5D6B" w:rsidRPr="002F5D6B">
        <w:rPr>
          <w:lang w:val="es-ES"/>
        </w:rPr>
        <w:t xml:space="preserve">Asesora </w:t>
      </w:r>
      <w:proofErr w:type="spellStart"/>
      <w:r w:rsidR="002F5D6B" w:rsidRPr="002F5D6B">
        <w:rPr>
          <w:lang w:val="es-ES"/>
        </w:rPr>
        <w:t>Pol</w:t>
      </w:r>
      <w:r w:rsidR="002F5D6B">
        <w:rPr>
          <w:lang w:val="es-ES"/>
        </w:rPr>
        <w:t>ìtica</w:t>
      </w:r>
      <w:proofErr w:type="spellEnd"/>
      <w:r w:rsidR="002F5D6B">
        <w:rPr>
          <w:lang w:val="es-ES"/>
        </w:rPr>
        <w:t xml:space="preserve"> de la UE</w:t>
      </w:r>
      <w:r w:rsidRPr="002F5D6B">
        <w:rPr>
          <w:lang w:val="es-ES"/>
        </w:rPr>
        <w:t xml:space="preserve">, Ellen Graham, </w:t>
      </w:r>
      <w:hyperlink r:id="rId8" w:history="1">
        <w:r w:rsidRPr="002F5D6B">
          <w:rPr>
            <w:rStyle w:val="Hipervnculo"/>
            <w:lang w:val="es-ES"/>
          </w:rPr>
          <w:t>egraham@helpage.org</w:t>
        </w:r>
      </w:hyperlink>
    </w:p>
    <w:p w14:paraId="4601584F" w14:textId="77777777" w:rsidR="007C2A63" w:rsidRPr="002F5D6B" w:rsidRDefault="007C2A63">
      <w:pPr>
        <w:rPr>
          <w:lang w:val="es-ES"/>
        </w:rPr>
      </w:pPr>
      <w:bookmarkStart w:id="0" w:name="_GoBack"/>
      <w:bookmarkEnd w:id="0"/>
    </w:p>
    <w:sectPr w:rsidR="007C2A63" w:rsidRPr="002F5D6B" w:rsidSect="00741148">
      <w:headerReference w:type="default" r:id="rId9"/>
      <w:footerReference w:type="default" r:id="rId10"/>
      <w:pgSz w:w="11906" w:h="16838"/>
      <w:pgMar w:top="1440" w:right="1416" w:bottom="1440"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3F436" w14:textId="77777777" w:rsidR="00DE0701" w:rsidRDefault="00DE0701" w:rsidP="00CE7A1F">
      <w:pPr>
        <w:spacing w:after="0" w:line="240" w:lineRule="auto"/>
      </w:pPr>
      <w:r>
        <w:separator/>
      </w:r>
    </w:p>
  </w:endnote>
  <w:endnote w:type="continuationSeparator" w:id="0">
    <w:p w14:paraId="0832BB62" w14:textId="77777777" w:rsidR="00DE0701" w:rsidRDefault="00DE0701" w:rsidP="00CE7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32AC5" w14:textId="77777777" w:rsidR="00DE0701" w:rsidRDefault="00DE0701" w:rsidP="00741148">
    <w:pPr>
      <w:tabs>
        <w:tab w:val="left" w:pos="5085"/>
      </w:tabs>
      <w:rPr>
        <w:rFonts w:ascii="Verdana" w:hAnsi="Verdana"/>
        <w:sz w:val="20"/>
        <w:szCs w:val="20"/>
      </w:rPr>
    </w:pPr>
  </w:p>
  <w:p w14:paraId="068C8A08" w14:textId="77777777" w:rsidR="00DE0701" w:rsidRPr="001A2696" w:rsidRDefault="00DE0701" w:rsidP="00741148">
    <w:pPr>
      <w:tabs>
        <w:tab w:val="left" w:pos="5085"/>
      </w:tabs>
      <w:rPr>
        <w:rFonts w:ascii="Verdana" w:hAnsi="Verdana"/>
        <w:sz w:val="20"/>
        <w:szCs w:val="20"/>
        <w:lang w:val="es-ES"/>
      </w:rPr>
    </w:pPr>
    <w:r>
      <w:rPr>
        <w:rFonts w:ascii="Verdana" w:hAnsi="Verdana"/>
        <w:noProof/>
        <w:sz w:val="20"/>
        <w:szCs w:val="20"/>
        <w:lang w:val="es-ES" w:eastAsia="es-ES"/>
      </w:rPr>
      <w:drawing>
        <wp:inline distT="0" distB="0" distL="0" distR="0" wp14:anchorId="38BBE35E" wp14:editId="1B0E717B">
          <wp:extent cx="790575" cy="5233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_yellow_hig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848" cy="523537"/>
                  </a:xfrm>
                  <a:prstGeom prst="rect">
                    <a:avLst/>
                  </a:prstGeom>
                </pic:spPr>
              </pic:pic>
            </a:graphicData>
          </a:graphic>
        </wp:inline>
      </w:drawing>
    </w:r>
    <w:r w:rsidRPr="001A2696">
      <w:rPr>
        <w:rFonts w:ascii="Verdana" w:hAnsi="Verdana"/>
        <w:sz w:val="20"/>
        <w:szCs w:val="20"/>
        <w:lang w:val="es-ES"/>
      </w:rPr>
      <w:tab/>
    </w:r>
    <w:r w:rsidRPr="001A2696">
      <w:rPr>
        <w:rFonts w:ascii="Verdana" w:hAnsi="Verdana"/>
        <w:sz w:val="20"/>
        <w:szCs w:val="20"/>
        <w:lang w:val="es-ES"/>
      </w:rPr>
      <w:tab/>
    </w:r>
    <w:r w:rsidRPr="001A2696">
      <w:rPr>
        <w:rFonts w:ascii="Verdana" w:hAnsi="Verdana"/>
        <w:sz w:val="20"/>
        <w:szCs w:val="20"/>
        <w:lang w:val="es-ES"/>
      </w:rPr>
      <w:tab/>
    </w:r>
    <w:r w:rsidRPr="001A2696">
      <w:rPr>
        <w:rFonts w:ascii="Verdana" w:hAnsi="Verdana"/>
        <w:sz w:val="20"/>
        <w:szCs w:val="20"/>
        <w:lang w:val="es-ES"/>
      </w:rPr>
      <w:tab/>
    </w:r>
    <w:r>
      <w:rPr>
        <w:rFonts w:ascii="Verdana" w:hAnsi="Verdana"/>
        <w:noProof/>
        <w:sz w:val="20"/>
        <w:szCs w:val="20"/>
        <w:lang w:val="es-ES" w:eastAsia="es-ES"/>
      </w:rPr>
      <w:drawing>
        <wp:inline distT="0" distB="0" distL="0" distR="0" wp14:anchorId="1424377B" wp14:editId="4C711B36">
          <wp:extent cx="895350" cy="5014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I-network-logo-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8908" cy="503449"/>
                  </a:xfrm>
                  <a:prstGeom prst="rect">
                    <a:avLst/>
                  </a:prstGeom>
                </pic:spPr>
              </pic:pic>
            </a:graphicData>
          </a:graphic>
        </wp:inline>
      </w:drawing>
    </w:r>
    <w:r w:rsidRPr="001A2696">
      <w:rPr>
        <w:rFonts w:ascii="Verdana" w:hAnsi="Verdana"/>
        <w:sz w:val="20"/>
        <w:szCs w:val="20"/>
        <w:lang w:val="es-ES"/>
      </w:rPr>
      <w:br/>
    </w:r>
    <w:r w:rsidRPr="001A2696">
      <w:rPr>
        <w:sz w:val="20"/>
        <w:szCs w:val="20"/>
        <w:lang w:val="es-ES"/>
      </w:rPr>
      <w:t xml:space="preserve">La red de </w:t>
    </w:r>
    <w:proofErr w:type="spellStart"/>
    <w:r w:rsidRPr="001A2696">
      <w:rPr>
        <w:sz w:val="20"/>
        <w:szCs w:val="20"/>
        <w:lang w:val="es-ES"/>
      </w:rPr>
      <w:t>HelpAge</w:t>
    </w:r>
    <w:proofErr w:type="spellEnd"/>
    <w:r w:rsidRPr="001A2696">
      <w:rPr>
        <w:sz w:val="20"/>
        <w:szCs w:val="20"/>
        <w:lang w:val="es-ES"/>
      </w:rPr>
      <w:t xml:space="preserve"> UE recibe el apoyo de la Unión Europea.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5B6ED" w14:textId="77777777" w:rsidR="00DE0701" w:rsidRDefault="00DE0701" w:rsidP="00CE7A1F">
      <w:pPr>
        <w:spacing w:after="0" w:line="240" w:lineRule="auto"/>
      </w:pPr>
      <w:r>
        <w:separator/>
      </w:r>
    </w:p>
  </w:footnote>
  <w:footnote w:type="continuationSeparator" w:id="0">
    <w:p w14:paraId="67192E3B" w14:textId="77777777" w:rsidR="00DE0701" w:rsidRDefault="00DE0701" w:rsidP="00CE7A1F">
      <w:pPr>
        <w:spacing w:after="0" w:line="240" w:lineRule="auto"/>
      </w:pPr>
      <w:r>
        <w:continuationSeparator/>
      </w:r>
    </w:p>
  </w:footnote>
  <w:footnote w:id="1">
    <w:p w14:paraId="2A2DC2EE" w14:textId="77777777" w:rsidR="00DE0701" w:rsidRPr="00664771" w:rsidRDefault="00DE0701" w:rsidP="00664771">
      <w:pPr>
        <w:pStyle w:val="Textonotapie"/>
      </w:pPr>
      <w:r>
        <w:rPr>
          <w:rStyle w:val="Refdenotaalpie"/>
        </w:rPr>
        <w:footnoteRef/>
      </w:r>
      <w:r>
        <w:t xml:space="preserve"> </w:t>
      </w:r>
      <w:hyperlink r:id="rId1" w:history="1">
        <w:r w:rsidRPr="00FF369C">
          <w:rPr>
            <w:rStyle w:val="Hipervnculo"/>
          </w:rPr>
          <w:t>http://www.consilium.europa.eu/uedocs/cms_data/docs/pressdata/EN/foraff/146311.pdf</w:t>
        </w:r>
      </w:hyperlink>
      <w:r>
        <w:t xml:space="preserve"> </w:t>
      </w:r>
    </w:p>
  </w:footnote>
  <w:footnote w:id="2">
    <w:p w14:paraId="389BF5E9" w14:textId="77777777" w:rsidR="00DE0701" w:rsidRPr="00773DC5" w:rsidRDefault="00DE0701" w:rsidP="00DE0701">
      <w:pPr>
        <w:pStyle w:val="Textonotapie"/>
      </w:pPr>
      <w:r>
        <w:rPr>
          <w:rStyle w:val="Refdenotaalpie"/>
        </w:rPr>
        <w:footnoteRef/>
      </w:r>
      <w:r>
        <w:t xml:space="preserve"> </w:t>
      </w:r>
      <w:hyperlink r:id="rId2" w:history="1">
        <w:r w:rsidRPr="00E17263">
          <w:rPr>
            <w:rStyle w:val="Hipervnculo"/>
          </w:rPr>
          <w:t>https://sustainabledevelopment.un.org/focussdgs.html</w:t>
        </w:r>
      </w:hyperlink>
      <w:r>
        <w:t xml:space="preserve"> </w:t>
      </w:r>
    </w:p>
  </w:footnote>
  <w:footnote w:id="3">
    <w:p w14:paraId="5235B021" w14:textId="77777777" w:rsidR="00DE0701" w:rsidRDefault="00DE0701" w:rsidP="00E5669F">
      <w:pPr>
        <w:pStyle w:val="Textonotapie"/>
      </w:pPr>
      <w:r>
        <w:rPr>
          <w:rStyle w:val="Refdenotaalpie"/>
        </w:rPr>
        <w:footnoteRef/>
      </w:r>
      <w:r>
        <w:t xml:space="preserve"> </w:t>
      </w:r>
      <w:hyperlink r:id="rId3" w:history="1">
        <w:r w:rsidRPr="00E17263">
          <w:rPr>
            <w:rStyle w:val="Hipervnculo"/>
          </w:rPr>
          <w:t>http://www.ilo.org/dyn/normlex/es/f?p=NORMLEXPUB:12100:0::NO::P12100_INSTRUMENT_ID:3065524</w:t>
        </w:r>
      </w:hyperlink>
      <w:r>
        <w:t xml:space="preserve"> </w:t>
      </w:r>
    </w:p>
  </w:footnote>
  <w:footnote w:id="4">
    <w:p w14:paraId="70B2BC93" w14:textId="77777777" w:rsidR="00DE0701" w:rsidRDefault="00DE0701" w:rsidP="00AA4E7C">
      <w:pPr>
        <w:pStyle w:val="Textonotapie"/>
      </w:pPr>
      <w:r>
        <w:rPr>
          <w:rStyle w:val="Refdenotaalpie"/>
        </w:rPr>
        <w:footnoteRef/>
      </w:r>
      <w:r>
        <w:t xml:space="preserve"> </w:t>
      </w:r>
      <w:hyperlink r:id="rId4" w:history="1">
        <w:r w:rsidRPr="00FF369C">
          <w:rPr>
            <w:rStyle w:val="Hipervnculo"/>
          </w:rPr>
          <w:t>http://ec.europa.eu/europeaid/documents/2013-02-22_communication_a_decent_life_for_all_post_2015_en.pdf</w:t>
        </w:r>
      </w:hyperlink>
      <w:r>
        <w:t xml:space="preserve"> </w:t>
      </w:r>
    </w:p>
  </w:footnote>
  <w:footnote w:id="5">
    <w:p w14:paraId="13F94466" w14:textId="77777777" w:rsidR="00DE0701" w:rsidRDefault="00DE0701" w:rsidP="00AA4E7C">
      <w:pPr>
        <w:pStyle w:val="Textonotapie"/>
      </w:pPr>
      <w:r>
        <w:rPr>
          <w:rStyle w:val="Refdenotaalpie"/>
        </w:rPr>
        <w:footnoteRef/>
      </w:r>
      <w:r>
        <w:t xml:space="preserve"> </w:t>
      </w:r>
      <w:hyperlink r:id="rId5" w:history="1">
        <w:r w:rsidRPr="00FF369C">
          <w:rPr>
            <w:rStyle w:val="Hipervnculo"/>
          </w:rPr>
          <w:t>http://ec.europa.eu/europeaid/sites/devco/files/part1-a-decent-life-for-all.pdf</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48C65" w14:textId="77777777" w:rsidR="00DE0701" w:rsidRDefault="00DE0701" w:rsidP="00741148">
    <w:pPr>
      <w:pStyle w:val="Encabezado"/>
    </w:pPr>
    <w:proofErr w:type="spellStart"/>
    <w:r>
      <w:t>Enero</w:t>
    </w:r>
    <w:proofErr w:type="spellEnd"/>
    <w:r>
      <w:t xml:space="preserve"> 2015</w:t>
    </w:r>
    <w:r>
      <w:tab/>
    </w:r>
    <w:r>
      <w:tab/>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A1F"/>
    <w:rsid w:val="000000E7"/>
    <w:rsid w:val="0000232D"/>
    <w:rsid w:val="00002660"/>
    <w:rsid w:val="0000596A"/>
    <w:rsid w:val="00006253"/>
    <w:rsid w:val="00007FA7"/>
    <w:rsid w:val="00012D34"/>
    <w:rsid w:val="00021416"/>
    <w:rsid w:val="00022E24"/>
    <w:rsid w:val="0002334E"/>
    <w:rsid w:val="00026117"/>
    <w:rsid w:val="00036435"/>
    <w:rsid w:val="00041C73"/>
    <w:rsid w:val="00044F04"/>
    <w:rsid w:val="00044FB0"/>
    <w:rsid w:val="00052177"/>
    <w:rsid w:val="000545A2"/>
    <w:rsid w:val="0006034E"/>
    <w:rsid w:val="00061D15"/>
    <w:rsid w:val="00062D54"/>
    <w:rsid w:val="00064981"/>
    <w:rsid w:val="00066E7B"/>
    <w:rsid w:val="000675E3"/>
    <w:rsid w:val="000705AE"/>
    <w:rsid w:val="00070D52"/>
    <w:rsid w:val="0007458D"/>
    <w:rsid w:val="00074C53"/>
    <w:rsid w:val="00080536"/>
    <w:rsid w:val="00082B7E"/>
    <w:rsid w:val="00085109"/>
    <w:rsid w:val="00086031"/>
    <w:rsid w:val="00091313"/>
    <w:rsid w:val="00094FDD"/>
    <w:rsid w:val="000A3A6A"/>
    <w:rsid w:val="000A4206"/>
    <w:rsid w:val="000A4AB7"/>
    <w:rsid w:val="000A5D45"/>
    <w:rsid w:val="000A6C31"/>
    <w:rsid w:val="000B21B8"/>
    <w:rsid w:val="000B42BF"/>
    <w:rsid w:val="000B4500"/>
    <w:rsid w:val="000C1230"/>
    <w:rsid w:val="000D12DD"/>
    <w:rsid w:val="000D2495"/>
    <w:rsid w:val="000D4B87"/>
    <w:rsid w:val="000D74C4"/>
    <w:rsid w:val="000E140A"/>
    <w:rsid w:val="000E1D35"/>
    <w:rsid w:val="000E1EE5"/>
    <w:rsid w:val="000E28B5"/>
    <w:rsid w:val="000E6DA2"/>
    <w:rsid w:val="000F0051"/>
    <w:rsid w:val="000F3E85"/>
    <w:rsid w:val="000F6191"/>
    <w:rsid w:val="000F66EA"/>
    <w:rsid w:val="000F7FA3"/>
    <w:rsid w:val="00101323"/>
    <w:rsid w:val="00101BED"/>
    <w:rsid w:val="00101F15"/>
    <w:rsid w:val="00107E30"/>
    <w:rsid w:val="00110797"/>
    <w:rsid w:val="001114B6"/>
    <w:rsid w:val="00120B96"/>
    <w:rsid w:val="00137FEB"/>
    <w:rsid w:val="001414AA"/>
    <w:rsid w:val="0014527A"/>
    <w:rsid w:val="00145413"/>
    <w:rsid w:val="001454DA"/>
    <w:rsid w:val="001459F2"/>
    <w:rsid w:val="00150051"/>
    <w:rsid w:val="0015433D"/>
    <w:rsid w:val="00154C5A"/>
    <w:rsid w:val="0015740A"/>
    <w:rsid w:val="00157F60"/>
    <w:rsid w:val="00162636"/>
    <w:rsid w:val="0016340C"/>
    <w:rsid w:val="0016704F"/>
    <w:rsid w:val="00167A14"/>
    <w:rsid w:val="00172160"/>
    <w:rsid w:val="001723DD"/>
    <w:rsid w:val="00173A5C"/>
    <w:rsid w:val="00180AF0"/>
    <w:rsid w:val="00181272"/>
    <w:rsid w:val="001844AE"/>
    <w:rsid w:val="0019079D"/>
    <w:rsid w:val="00192FF7"/>
    <w:rsid w:val="00196AC7"/>
    <w:rsid w:val="001A1331"/>
    <w:rsid w:val="001A2696"/>
    <w:rsid w:val="001A333F"/>
    <w:rsid w:val="001A72A9"/>
    <w:rsid w:val="001A7495"/>
    <w:rsid w:val="001B1E16"/>
    <w:rsid w:val="001B6ACB"/>
    <w:rsid w:val="001C0180"/>
    <w:rsid w:val="001C2524"/>
    <w:rsid w:val="001C4EC1"/>
    <w:rsid w:val="001D46ED"/>
    <w:rsid w:val="001D62D1"/>
    <w:rsid w:val="001D662F"/>
    <w:rsid w:val="001E1C2C"/>
    <w:rsid w:val="001E2F03"/>
    <w:rsid w:val="001E5E37"/>
    <w:rsid w:val="001F3818"/>
    <w:rsid w:val="00200253"/>
    <w:rsid w:val="00201860"/>
    <w:rsid w:val="00205E86"/>
    <w:rsid w:val="002061AC"/>
    <w:rsid w:val="00211C3B"/>
    <w:rsid w:val="00211CD2"/>
    <w:rsid w:val="00221593"/>
    <w:rsid w:val="00241D2D"/>
    <w:rsid w:val="00241E69"/>
    <w:rsid w:val="00242A67"/>
    <w:rsid w:val="00244F21"/>
    <w:rsid w:val="00245632"/>
    <w:rsid w:val="00245CF1"/>
    <w:rsid w:val="00246EE8"/>
    <w:rsid w:val="0024791B"/>
    <w:rsid w:val="00250762"/>
    <w:rsid w:val="0025114F"/>
    <w:rsid w:val="00251A80"/>
    <w:rsid w:val="00254477"/>
    <w:rsid w:val="00255B70"/>
    <w:rsid w:val="00263BEC"/>
    <w:rsid w:val="00270861"/>
    <w:rsid w:val="00272CDD"/>
    <w:rsid w:val="002756C2"/>
    <w:rsid w:val="00276C9F"/>
    <w:rsid w:val="00283DD7"/>
    <w:rsid w:val="00286FA8"/>
    <w:rsid w:val="00287D05"/>
    <w:rsid w:val="002901B5"/>
    <w:rsid w:val="002924B3"/>
    <w:rsid w:val="00293493"/>
    <w:rsid w:val="002A5921"/>
    <w:rsid w:val="002A5D10"/>
    <w:rsid w:val="002A602A"/>
    <w:rsid w:val="002B227F"/>
    <w:rsid w:val="002C03A7"/>
    <w:rsid w:val="002C0942"/>
    <w:rsid w:val="002C3A03"/>
    <w:rsid w:val="002C66D6"/>
    <w:rsid w:val="002D11A7"/>
    <w:rsid w:val="002D344D"/>
    <w:rsid w:val="002D3C94"/>
    <w:rsid w:val="002E2559"/>
    <w:rsid w:val="002E265A"/>
    <w:rsid w:val="002E30CF"/>
    <w:rsid w:val="002E4C2C"/>
    <w:rsid w:val="002F26AF"/>
    <w:rsid w:val="002F50DD"/>
    <w:rsid w:val="002F5D6B"/>
    <w:rsid w:val="00302547"/>
    <w:rsid w:val="00305073"/>
    <w:rsid w:val="00307192"/>
    <w:rsid w:val="00315491"/>
    <w:rsid w:val="00315904"/>
    <w:rsid w:val="00315E4B"/>
    <w:rsid w:val="0032040C"/>
    <w:rsid w:val="003239FA"/>
    <w:rsid w:val="00325D5A"/>
    <w:rsid w:val="00332912"/>
    <w:rsid w:val="003330CA"/>
    <w:rsid w:val="003364A9"/>
    <w:rsid w:val="00342003"/>
    <w:rsid w:val="00342DB7"/>
    <w:rsid w:val="0034403E"/>
    <w:rsid w:val="003443F1"/>
    <w:rsid w:val="00344A0E"/>
    <w:rsid w:val="0035232E"/>
    <w:rsid w:val="00353613"/>
    <w:rsid w:val="003548BD"/>
    <w:rsid w:val="00357D5E"/>
    <w:rsid w:val="00362FFF"/>
    <w:rsid w:val="0036301B"/>
    <w:rsid w:val="003635A6"/>
    <w:rsid w:val="00372EE9"/>
    <w:rsid w:val="00376D5C"/>
    <w:rsid w:val="00381A11"/>
    <w:rsid w:val="00383C13"/>
    <w:rsid w:val="003853DB"/>
    <w:rsid w:val="00386253"/>
    <w:rsid w:val="00390A20"/>
    <w:rsid w:val="00391CC4"/>
    <w:rsid w:val="003A00F3"/>
    <w:rsid w:val="003B2425"/>
    <w:rsid w:val="003B2AC2"/>
    <w:rsid w:val="003B74F9"/>
    <w:rsid w:val="003C1722"/>
    <w:rsid w:val="003C6AED"/>
    <w:rsid w:val="003D3B29"/>
    <w:rsid w:val="003D61B8"/>
    <w:rsid w:val="003D6CA2"/>
    <w:rsid w:val="003E334B"/>
    <w:rsid w:val="003E7A98"/>
    <w:rsid w:val="003F4581"/>
    <w:rsid w:val="00400FCC"/>
    <w:rsid w:val="0040638D"/>
    <w:rsid w:val="00412F6B"/>
    <w:rsid w:val="00423229"/>
    <w:rsid w:val="004232E4"/>
    <w:rsid w:val="004327B4"/>
    <w:rsid w:val="00434E0F"/>
    <w:rsid w:val="00446383"/>
    <w:rsid w:val="004466F8"/>
    <w:rsid w:val="0044703E"/>
    <w:rsid w:val="004538B9"/>
    <w:rsid w:val="0045564B"/>
    <w:rsid w:val="00455A7A"/>
    <w:rsid w:val="004567C6"/>
    <w:rsid w:val="0046224D"/>
    <w:rsid w:val="004641A2"/>
    <w:rsid w:val="00464220"/>
    <w:rsid w:val="0047046C"/>
    <w:rsid w:val="00471D06"/>
    <w:rsid w:val="004753E3"/>
    <w:rsid w:val="00482F69"/>
    <w:rsid w:val="00484DB2"/>
    <w:rsid w:val="00485BBE"/>
    <w:rsid w:val="004879FB"/>
    <w:rsid w:val="00487A24"/>
    <w:rsid w:val="00490EDC"/>
    <w:rsid w:val="0049188C"/>
    <w:rsid w:val="004929F8"/>
    <w:rsid w:val="0049561D"/>
    <w:rsid w:val="0049651E"/>
    <w:rsid w:val="004A6DD9"/>
    <w:rsid w:val="004B09F7"/>
    <w:rsid w:val="004B3B99"/>
    <w:rsid w:val="004B4884"/>
    <w:rsid w:val="004C3E89"/>
    <w:rsid w:val="004C69D0"/>
    <w:rsid w:val="004D4C01"/>
    <w:rsid w:val="004E08A5"/>
    <w:rsid w:val="004F0A0C"/>
    <w:rsid w:val="004F1B23"/>
    <w:rsid w:val="004F3025"/>
    <w:rsid w:val="004F4D26"/>
    <w:rsid w:val="00500EB8"/>
    <w:rsid w:val="00501131"/>
    <w:rsid w:val="005016F8"/>
    <w:rsid w:val="005021DC"/>
    <w:rsid w:val="00503D02"/>
    <w:rsid w:val="005066D2"/>
    <w:rsid w:val="0051103C"/>
    <w:rsid w:val="00511FCA"/>
    <w:rsid w:val="00515B2A"/>
    <w:rsid w:val="0052083E"/>
    <w:rsid w:val="005219B5"/>
    <w:rsid w:val="00527090"/>
    <w:rsid w:val="00530417"/>
    <w:rsid w:val="00534675"/>
    <w:rsid w:val="005360E5"/>
    <w:rsid w:val="005370CB"/>
    <w:rsid w:val="00546B4E"/>
    <w:rsid w:val="005505FA"/>
    <w:rsid w:val="005554C3"/>
    <w:rsid w:val="00561147"/>
    <w:rsid w:val="00564748"/>
    <w:rsid w:val="005656E0"/>
    <w:rsid w:val="00567162"/>
    <w:rsid w:val="005715A7"/>
    <w:rsid w:val="00573F04"/>
    <w:rsid w:val="00574E09"/>
    <w:rsid w:val="00575BC6"/>
    <w:rsid w:val="00575C4E"/>
    <w:rsid w:val="005815F2"/>
    <w:rsid w:val="0058161B"/>
    <w:rsid w:val="005826EC"/>
    <w:rsid w:val="0058499E"/>
    <w:rsid w:val="00591B0A"/>
    <w:rsid w:val="00593685"/>
    <w:rsid w:val="0059675A"/>
    <w:rsid w:val="005969DD"/>
    <w:rsid w:val="005A26E9"/>
    <w:rsid w:val="005A67A5"/>
    <w:rsid w:val="005B0915"/>
    <w:rsid w:val="005B285B"/>
    <w:rsid w:val="005B480C"/>
    <w:rsid w:val="005B7D33"/>
    <w:rsid w:val="005C3BFD"/>
    <w:rsid w:val="005C5128"/>
    <w:rsid w:val="005C6665"/>
    <w:rsid w:val="005D6790"/>
    <w:rsid w:val="005E0495"/>
    <w:rsid w:val="005E6F80"/>
    <w:rsid w:val="005F0F15"/>
    <w:rsid w:val="005F1EC0"/>
    <w:rsid w:val="005F493A"/>
    <w:rsid w:val="005F637D"/>
    <w:rsid w:val="00603C21"/>
    <w:rsid w:val="0060734D"/>
    <w:rsid w:val="0061254E"/>
    <w:rsid w:val="00616130"/>
    <w:rsid w:val="0061669C"/>
    <w:rsid w:val="0062196D"/>
    <w:rsid w:val="0062295E"/>
    <w:rsid w:val="00622EF0"/>
    <w:rsid w:val="00623167"/>
    <w:rsid w:val="006239E1"/>
    <w:rsid w:val="00624D70"/>
    <w:rsid w:val="006255B3"/>
    <w:rsid w:val="0062758B"/>
    <w:rsid w:val="006305A6"/>
    <w:rsid w:val="00633329"/>
    <w:rsid w:val="0064005C"/>
    <w:rsid w:val="00643308"/>
    <w:rsid w:val="0064503D"/>
    <w:rsid w:val="00647754"/>
    <w:rsid w:val="006505D1"/>
    <w:rsid w:val="006513A5"/>
    <w:rsid w:val="006547F5"/>
    <w:rsid w:val="00654B84"/>
    <w:rsid w:val="0065628A"/>
    <w:rsid w:val="006646DA"/>
    <w:rsid w:val="00664771"/>
    <w:rsid w:val="00666281"/>
    <w:rsid w:val="006769B3"/>
    <w:rsid w:val="006771B0"/>
    <w:rsid w:val="00681EF0"/>
    <w:rsid w:val="00681F7A"/>
    <w:rsid w:val="00681FD2"/>
    <w:rsid w:val="0069202F"/>
    <w:rsid w:val="006952E5"/>
    <w:rsid w:val="00696644"/>
    <w:rsid w:val="00696AAC"/>
    <w:rsid w:val="006A35D6"/>
    <w:rsid w:val="006A3FAD"/>
    <w:rsid w:val="006A423F"/>
    <w:rsid w:val="006B09F5"/>
    <w:rsid w:val="006B33E6"/>
    <w:rsid w:val="006B3B60"/>
    <w:rsid w:val="006B57FF"/>
    <w:rsid w:val="006B6C93"/>
    <w:rsid w:val="006C14DE"/>
    <w:rsid w:val="006C3C30"/>
    <w:rsid w:val="006C50D3"/>
    <w:rsid w:val="006C532B"/>
    <w:rsid w:val="006C5604"/>
    <w:rsid w:val="006C6305"/>
    <w:rsid w:val="006C7F07"/>
    <w:rsid w:val="006D177B"/>
    <w:rsid w:val="006D5C40"/>
    <w:rsid w:val="006D6FBD"/>
    <w:rsid w:val="006D7F52"/>
    <w:rsid w:val="006E28EC"/>
    <w:rsid w:val="006E34BB"/>
    <w:rsid w:val="006E377E"/>
    <w:rsid w:val="006E3FE9"/>
    <w:rsid w:val="006F0BDA"/>
    <w:rsid w:val="006F3A0E"/>
    <w:rsid w:val="006F57EA"/>
    <w:rsid w:val="006F6817"/>
    <w:rsid w:val="00704EFB"/>
    <w:rsid w:val="0070760C"/>
    <w:rsid w:val="00707C08"/>
    <w:rsid w:val="007105B6"/>
    <w:rsid w:val="00715EBF"/>
    <w:rsid w:val="00715FB2"/>
    <w:rsid w:val="00720086"/>
    <w:rsid w:val="007203CC"/>
    <w:rsid w:val="00720EE7"/>
    <w:rsid w:val="007213C6"/>
    <w:rsid w:val="0072288B"/>
    <w:rsid w:val="00727E2A"/>
    <w:rsid w:val="00731901"/>
    <w:rsid w:val="007330FF"/>
    <w:rsid w:val="00737468"/>
    <w:rsid w:val="007407C0"/>
    <w:rsid w:val="00741148"/>
    <w:rsid w:val="00741238"/>
    <w:rsid w:val="00741BC8"/>
    <w:rsid w:val="00745E13"/>
    <w:rsid w:val="00747DB7"/>
    <w:rsid w:val="007501D8"/>
    <w:rsid w:val="00753EBD"/>
    <w:rsid w:val="00761674"/>
    <w:rsid w:val="00762833"/>
    <w:rsid w:val="00766EFF"/>
    <w:rsid w:val="00773DC5"/>
    <w:rsid w:val="00774390"/>
    <w:rsid w:val="00776F05"/>
    <w:rsid w:val="00781F1F"/>
    <w:rsid w:val="0078506E"/>
    <w:rsid w:val="007867B7"/>
    <w:rsid w:val="0079429D"/>
    <w:rsid w:val="0079456B"/>
    <w:rsid w:val="00795285"/>
    <w:rsid w:val="00796220"/>
    <w:rsid w:val="007A0766"/>
    <w:rsid w:val="007A1547"/>
    <w:rsid w:val="007A4C81"/>
    <w:rsid w:val="007B24E9"/>
    <w:rsid w:val="007B3E24"/>
    <w:rsid w:val="007B5218"/>
    <w:rsid w:val="007C2A63"/>
    <w:rsid w:val="007C4960"/>
    <w:rsid w:val="007C5CF6"/>
    <w:rsid w:val="007D148E"/>
    <w:rsid w:val="007D314E"/>
    <w:rsid w:val="007D3179"/>
    <w:rsid w:val="007D6284"/>
    <w:rsid w:val="007D654B"/>
    <w:rsid w:val="007D6CF8"/>
    <w:rsid w:val="007E0040"/>
    <w:rsid w:val="007E1E89"/>
    <w:rsid w:val="007F01CB"/>
    <w:rsid w:val="007F331E"/>
    <w:rsid w:val="007F3EDB"/>
    <w:rsid w:val="007F4F90"/>
    <w:rsid w:val="007F5FEF"/>
    <w:rsid w:val="007F62B6"/>
    <w:rsid w:val="00801C69"/>
    <w:rsid w:val="008048DA"/>
    <w:rsid w:val="00805000"/>
    <w:rsid w:val="00806451"/>
    <w:rsid w:val="0081282A"/>
    <w:rsid w:val="0081557F"/>
    <w:rsid w:val="0081649D"/>
    <w:rsid w:val="00816A78"/>
    <w:rsid w:val="0082466C"/>
    <w:rsid w:val="00826A4D"/>
    <w:rsid w:val="00827178"/>
    <w:rsid w:val="00827181"/>
    <w:rsid w:val="00831E47"/>
    <w:rsid w:val="00831FE2"/>
    <w:rsid w:val="00833961"/>
    <w:rsid w:val="00842C26"/>
    <w:rsid w:val="00843885"/>
    <w:rsid w:val="00844633"/>
    <w:rsid w:val="008468C3"/>
    <w:rsid w:val="0085099F"/>
    <w:rsid w:val="00850AA1"/>
    <w:rsid w:val="00851ECE"/>
    <w:rsid w:val="0085368E"/>
    <w:rsid w:val="00855EAF"/>
    <w:rsid w:val="00857EFF"/>
    <w:rsid w:val="00861A42"/>
    <w:rsid w:val="0086253D"/>
    <w:rsid w:val="00863CDF"/>
    <w:rsid w:val="008641BC"/>
    <w:rsid w:val="00866C86"/>
    <w:rsid w:val="00871F35"/>
    <w:rsid w:val="00881EEE"/>
    <w:rsid w:val="00883CF6"/>
    <w:rsid w:val="00885A4F"/>
    <w:rsid w:val="00890615"/>
    <w:rsid w:val="008908BD"/>
    <w:rsid w:val="00892D02"/>
    <w:rsid w:val="00894374"/>
    <w:rsid w:val="00894CE3"/>
    <w:rsid w:val="008966C5"/>
    <w:rsid w:val="008A0FE1"/>
    <w:rsid w:val="008B154B"/>
    <w:rsid w:val="008B34E5"/>
    <w:rsid w:val="008B40EA"/>
    <w:rsid w:val="008C7063"/>
    <w:rsid w:val="008D5851"/>
    <w:rsid w:val="008D7BD1"/>
    <w:rsid w:val="008E42FF"/>
    <w:rsid w:val="008E5813"/>
    <w:rsid w:val="008E7063"/>
    <w:rsid w:val="008F016B"/>
    <w:rsid w:val="008F023A"/>
    <w:rsid w:val="008F1F02"/>
    <w:rsid w:val="008F2788"/>
    <w:rsid w:val="008F36A8"/>
    <w:rsid w:val="008F61F4"/>
    <w:rsid w:val="008F6DBF"/>
    <w:rsid w:val="008F75EC"/>
    <w:rsid w:val="00902F9A"/>
    <w:rsid w:val="00904988"/>
    <w:rsid w:val="0090713D"/>
    <w:rsid w:val="00910983"/>
    <w:rsid w:val="00911915"/>
    <w:rsid w:val="00911C0D"/>
    <w:rsid w:val="0091614C"/>
    <w:rsid w:val="009175D0"/>
    <w:rsid w:val="00923FE4"/>
    <w:rsid w:val="0092448D"/>
    <w:rsid w:val="0092524D"/>
    <w:rsid w:val="00933657"/>
    <w:rsid w:val="009346EF"/>
    <w:rsid w:val="00934980"/>
    <w:rsid w:val="00935AA3"/>
    <w:rsid w:val="00944C18"/>
    <w:rsid w:val="00947CEE"/>
    <w:rsid w:val="009505D5"/>
    <w:rsid w:val="0095184A"/>
    <w:rsid w:val="00951E3B"/>
    <w:rsid w:val="00951E42"/>
    <w:rsid w:val="00963DE7"/>
    <w:rsid w:val="00971C88"/>
    <w:rsid w:val="00972685"/>
    <w:rsid w:val="009739E4"/>
    <w:rsid w:val="00975E3D"/>
    <w:rsid w:val="00977B0E"/>
    <w:rsid w:val="00980A91"/>
    <w:rsid w:val="00982C97"/>
    <w:rsid w:val="009837C4"/>
    <w:rsid w:val="00986F70"/>
    <w:rsid w:val="00987B60"/>
    <w:rsid w:val="00993604"/>
    <w:rsid w:val="009955D5"/>
    <w:rsid w:val="00995A3B"/>
    <w:rsid w:val="009A2548"/>
    <w:rsid w:val="009A25C0"/>
    <w:rsid w:val="009A2B81"/>
    <w:rsid w:val="009B30B3"/>
    <w:rsid w:val="009B572C"/>
    <w:rsid w:val="009B79F0"/>
    <w:rsid w:val="009C26DF"/>
    <w:rsid w:val="009D1488"/>
    <w:rsid w:val="009D5C64"/>
    <w:rsid w:val="009F047C"/>
    <w:rsid w:val="009F2EF7"/>
    <w:rsid w:val="009F3785"/>
    <w:rsid w:val="009F603C"/>
    <w:rsid w:val="009F7B81"/>
    <w:rsid w:val="00A00CDD"/>
    <w:rsid w:val="00A07664"/>
    <w:rsid w:val="00A105A0"/>
    <w:rsid w:val="00A10AC9"/>
    <w:rsid w:val="00A143F4"/>
    <w:rsid w:val="00A14CBA"/>
    <w:rsid w:val="00A21D79"/>
    <w:rsid w:val="00A26341"/>
    <w:rsid w:val="00A31D52"/>
    <w:rsid w:val="00A32D0C"/>
    <w:rsid w:val="00A4223E"/>
    <w:rsid w:val="00A462E4"/>
    <w:rsid w:val="00A47CE1"/>
    <w:rsid w:val="00A501C1"/>
    <w:rsid w:val="00A51FD7"/>
    <w:rsid w:val="00A5339D"/>
    <w:rsid w:val="00A54E62"/>
    <w:rsid w:val="00A60A03"/>
    <w:rsid w:val="00A6222A"/>
    <w:rsid w:val="00A63E42"/>
    <w:rsid w:val="00A6576B"/>
    <w:rsid w:val="00A76BC7"/>
    <w:rsid w:val="00A83E73"/>
    <w:rsid w:val="00A874EA"/>
    <w:rsid w:val="00A91BE4"/>
    <w:rsid w:val="00AA2A0E"/>
    <w:rsid w:val="00AA42AC"/>
    <w:rsid w:val="00AA457B"/>
    <w:rsid w:val="00AA4E7C"/>
    <w:rsid w:val="00AA503C"/>
    <w:rsid w:val="00AA64CD"/>
    <w:rsid w:val="00AA6993"/>
    <w:rsid w:val="00AA726D"/>
    <w:rsid w:val="00AB18A1"/>
    <w:rsid w:val="00AB3927"/>
    <w:rsid w:val="00AB5F32"/>
    <w:rsid w:val="00AB6D7B"/>
    <w:rsid w:val="00AC396E"/>
    <w:rsid w:val="00AC6AA5"/>
    <w:rsid w:val="00AC7E8C"/>
    <w:rsid w:val="00AD139B"/>
    <w:rsid w:val="00AD1F4B"/>
    <w:rsid w:val="00AD22B8"/>
    <w:rsid w:val="00AD6837"/>
    <w:rsid w:val="00AD7F5D"/>
    <w:rsid w:val="00AE6289"/>
    <w:rsid w:val="00AF0D73"/>
    <w:rsid w:val="00AF63A1"/>
    <w:rsid w:val="00AF704D"/>
    <w:rsid w:val="00AF7421"/>
    <w:rsid w:val="00B00678"/>
    <w:rsid w:val="00B11A4E"/>
    <w:rsid w:val="00B12BE2"/>
    <w:rsid w:val="00B142D2"/>
    <w:rsid w:val="00B16010"/>
    <w:rsid w:val="00B24D61"/>
    <w:rsid w:val="00B30E71"/>
    <w:rsid w:val="00B31078"/>
    <w:rsid w:val="00B33BCA"/>
    <w:rsid w:val="00B40FED"/>
    <w:rsid w:val="00B41B28"/>
    <w:rsid w:val="00B43EE4"/>
    <w:rsid w:val="00B45000"/>
    <w:rsid w:val="00B45C25"/>
    <w:rsid w:val="00B4623F"/>
    <w:rsid w:val="00B505B2"/>
    <w:rsid w:val="00B50B85"/>
    <w:rsid w:val="00B50E57"/>
    <w:rsid w:val="00B50F1B"/>
    <w:rsid w:val="00B52F38"/>
    <w:rsid w:val="00B5398F"/>
    <w:rsid w:val="00B552B2"/>
    <w:rsid w:val="00B65BFD"/>
    <w:rsid w:val="00B65E8D"/>
    <w:rsid w:val="00B746AA"/>
    <w:rsid w:val="00B7562F"/>
    <w:rsid w:val="00B81053"/>
    <w:rsid w:val="00B810DF"/>
    <w:rsid w:val="00B9252F"/>
    <w:rsid w:val="00B94F60"/>
    <w:rsid w:val="00B95A6C"/>
    <w:rsid w:val="00BA308F"/>
    <w:rsid w:val="00BB2E51"/>
    <w:rsid w:val="00BB36D4"/>
    <w:rsid w:val="00BC0AA6"/>
    <w:rsid w:val="00BC670F"/>
    <w:rsid w:val="00BD5BC0"/>
    <w:rsid w:val="00BD5C48"/>
    <w:rsid w:val="00BD6B4D"/>
    <w:rsid w:val="00BD7773"/>
    <w:rsid w:val="00BE2F76"/>
    <w:rsid w:val="00BF04BE"/>
    <w:rsid w:val="00BF245A"/>
    <w:rsid w:val="00BF41B8"/>
    <w:rsid w:val="00BF4D30"/>
    <w:rsid w:val="00BF7D74"/>
    <w:rsid w:val="00C006CD"/>
    <w:rsid w:val="00C03F25"/>
    <w:rsid w:val="00C055B1"/>
    <w:rsid w:val="00C057BA"/>
    <w:rsid w:val="00C1043F"/>
    <w:rsid w:val="00C11205"/>
    <w:rsid w:val="00C13164"/>
    <w:rsid w:val="00C1528E"/>
    <w:rsid w:val="00C1624A"/>
    <w:rsid w:val="00C16C88"/>
    <w:rsid w:val="00C23A59"/>
    <w:rsid w:val="00C27804"/>
    <w:rsid w:val="00C35233"/>
    <w:rsid w:val="00C36643"/>
    <w:rsid w:val="00C36A3E"/>
    <w:rsid w:val="00C37F0A"/>
    <w:rsid w:val="00C434DF"/>
    <w:rsid w:val="00C459AB"/>
    <w:rsid w:val="00C47619"/>
    <w:rsid w:val="00C51F5B"/>
    <w:rsid w:val="00C61782"/>
    <w:rsid w:val="00C61B87"/>
    <w:rsid w:val="00C62552"/>
    <w:rsid w:val="00C64518"/>
    <w:rsid w:val="00C70A00"/>
    <w:rsid w:val="00C720A6"/>
    <w:rsid w:val="00C7593B"/>
    <w:rsid w:val="00C81158"/>
    <w:rsid w:val="00C8239F"/>
    <w:rsid w:val="00C83DE7"/>
    <w:rsid w:val="00C8504F"/>
    <w:rsid w:val="00C90975"/>
    <w:rsid w:val="00C94507"/>
    <w:rsid w:val="00C95AC2"/>
    <w:rsid w:val="00C95C2D"/>
    <w:rsid w:val="00CB0565"/>
    <w:rsid w:val="00CC3A33"/>
    <w:rsid w:val="00CD001E"/>
    <w:rsid w:val="00CD05B9"/>
    <w:rsid w:val="00CD2BFD"/>
    <w:rsid w:val="00CD4E25"/>
    <w:rsid w:val="00CD789A"/>
    <w:rsid w:val="00CE531B"/>
    <w:rsid w:val="00CE5B6B"/>
    <w:rsid w:val="00CE7A1F"/>
    <w:rsid w:val="00CF27D2"/>
    <w:rsid w:val="00CF6A14"/>
    <w:rsid w:val="00D01555"/>
    <w:rsid w:val="00D02E6E"/>
    <w:rsid w:val="00D03D8A"/>
    <w:rsid w:val="00D03EA8"/>
    <w:rsid w:val="00D04B88"/>
    <w:rsid w:val="00D04F8C"/>
    <w:rsid w:val="00D04FBD"/>
    <w:rsid w:val="00D06776"/>
    <w:rsid w:val="00D06A67"/>
    <w:rsid w:val="00D113C1"/>
    <w:rsid w:val="00D2026E"/>
    <w:rsid w:val="00D23D5D"/>
    <w:rsid w:val="00D325C3"/>
    <w:rsid w:val="00D32DD4"/>
    <w:rsid w:val="00D337B0"/>
    <w:rsid w:val="00D33865"/>
    <w:rsid w:val="00D36918"/>
    <w:rsid w:val="00D46750"/>
    <w:rsid w:val="00D46A94"/>
    <w:rsid w:val="00D46FB5"/>
    <w:rsid w:val="00D500D5"/>
    <w:rsid w:val="00D537AE"/>
    <w:rsid w:val="00D54E81"/>
    <w:rsid w:val="00D54F7C"/>
    <w:rsid w:val="00D55155"/>
    <w:rsid w:val="00D6140D"/>
    <w:rsid w:val="00D64EDC"/>
    <w:rsid w:val="00D82E88"/>
    <w:rsid w:val="00D94DB1"/>
    <w:rsid w:val="00DA1DDC"/>
    <w:rsid w:val="00DA2747"/>
    <w:rsid w:val="00DA42DC"/>
    <w:rsid w:val="00DA4656"/>
    <w:rsid w:val="00DA6F31"/>
    <w:rsid w:val="00DA7353"/>
    <w:rsid w:val="00DB42DF"/>
    <w:rsid w:val="00DB5552"/>
    <w:rsid w:val="00DB6430"/>
    <w:rsid w:val="00DC565F"/>
    <w:rsid w:val="00DC7B36"/>
    <w:rsid w:val="00DD43C9"/>
    <w:rsid w:val="00DD52C5"/>
    <w:rsid w:val="00DD675B"/>
    <w:rsid w:val="00DD7D2B"/>
    <w:rsid w:val="00DE0701"/>
    <w:rsid w:val="00DE0A42"/>
    <w:rsid w:val="00DE0D00"/>
    <w:rsid w:val="00DE1F9F"/>
    <w:rsid w:val="00DE2FDE"/>
    <w:rsid w:val="00DE6343"/>
    <w:rsid w:val="00DE7BE4"/>
    <w:rsid w:val="00DF0FCC"/>
    <w:rsid w:val="00DF1998"/>
    <w:rsid w:val="00DF7258"/>
    <w:rsid w:val="00E045E2"/>
    <w:rsid w:val="00E10165"/>
    <w:rsid w:val="00E10C3A"/>
    <w:rsid w:val="00E11A7D"/>
    <w:rsid w:val="00E12413"/>
    <w:rsid w:val="00E13ABF"/>
    <w:rsid w:val="00E14D6E"/>
    <w:rsid w:val="00E15113"/>
    <w:rsid w:val="00E151B7"/>
    <w:rsid w:val="00E27FCC"/>
    <w:rsid w:val="00E30944"/>
    <w:rsid w:val="00E32515"/>
    <w:rsid w:val="00E41FD8"/>
    <w:rsid w:val="00E46C8A"/>
    <w:rsid w:val="00E50230"/>
    <w:rsid w:val="00E529E9"/>
    <w:rsid w:val="00E55326"/>
    <w:rsid w:val="00E5669F"/>
    <w:rsid w:val="00E57E15"/>
    <w:rsid w:val="00E62D41"/>
    <w:rsid w:val="00E67EAC"/>
    <w:rsid w:val="00E714E3"/>
    <w:rsid w:val="00E71B69"/>
    <w:rsid w:val="00E81459"/>
    <w:rsid w:val="00E82B12"/>
    <w:rsid w:val="00E834EE"/>
    <w:rsid w:val="00E848C2"/>
    <w:rsid w:val="00E874C6"/>
    <w:rsid w:val="00E87C59"/>
    <w:rsid w:val="00E919F4"/>
    <w:rsid w:val="00E92D26"/>
    <w:rsid w:val="00E93F6F"/>
    <w:rsid w:val="00EA11F8"/>
    <w:rsid w:val="00EA464E"/>
    <w:rsid w:val="00EB189A"/>
    <w:rsid w:val="00EB7EFC"/>
    <w:rsid w:val="00ED10C5"/>
    <w:rsid w:val="00ED28BC"/>
    <w:rsid w:val="00ED35E5"/>
    <w:rsid w:val="00ED51A8"/>
    <w:rsid w:val="00ED6DE8"/>
    <w:rsid w:val="00EE1089"/>
    <w:rsid w:val="00EE236D"/>
    <w:rsid w:val="00EE2523"/>
    <w:rsid w:val="00EE41CA"/>
    <w:rsid w:val="00EE69B8"/>
    <w:rsid w:val="00EE7064"/>
    <w:rsid w:val="00EF69AC"/>
    <w:rsid w:val="00F00251"/>
    <w:rsid w:val="00F008F4"/>
    <w:rsid w:val="00F039AD"/>
    <w:rsid w:val="00F0696A"/>
    <w:rsid w:val="00F10160"/>
    <w:rsid w:val="00F11FF9"/>
    <w:rsid w:val="00F14241"/>
    <w:rsid w:val="00F16DF1"/>
    <w:rsid w:val="00F20D56"/>
    <w:rsid w:val="00F25620"/>
    <w:rsid w:val="00F31EF8"/>
    <w:rsid w:val="00F34874"/>
    <w:rsid w:val="00F401BC"/>
    <w:rsid w:val="00F410A8"/>
    <w:rsid w:val="00F4222E"/>
    <w:rsid w:val="00F471A7"/>
    <w:rsid w:val="00F561E5"/>
    <w:rsid w:val="00F60551"/>
    <w:rsid w:val="00F63866"/>
    <w:rsid w:val="00F64EC3"/>
    <w:rsid w:val="00F67942"/>
    <w:rsid w:val="00F757CC"/>
    <w:rsid w:val="00F75EEB"/>
    <w:rsid w:val="00F76617"/>
    <w:rsid w:val="00F826D6"/>
    <w:rsid w:val="00F8500B"/>
    <w:rsid w:val="00F86059"/>
    <w:rsid w:val="00F86E30"/>
    <w:rsid w:val="00F923C4"/>
    <w:rsid w:val="00FA1CBC"/>
    <w:rsid w:val="00FA4514"/>
    <w:rsid w:val="00FB3F64"/>
    <w:rsid w:val="00FD45FB"/>
    <w:rsid w:val="00FD4FD7"/>
    <w:rsid w:val="00FD7CE1"/>
    <w:rsid w:val="00FE11BF"/>
    <w:rsid w:val="00FE39B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29A5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7A1F"/>
    <w:pPr>
      <w:spacing w:after="200" w:line="276" w:lineRule="auto"/>
    </w:pPr>
    <w:rPr>
      <w:rFonts w:asciiTheme="minorHAnsi" w:eastAsiaTheme="minorHAnsi" w:hAnsiTheme="minorHAnsi" w:cstheme="minorBidi"/>
      <w:sz w:val="22"/>
      <w:szCs w:val="22"/>
      <w:lang w:val="en-GB"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CE7A1F"/>
    <w:pPr>
      <w:spacing w:after="0" w:line="240" w:lineRule="auto"/>
    </w:pPr>
    <w:rPr>
      <w:sz w:val="20"/>
      <w:szCs w:val="20"/>
    </w:rPr>
  </w:style>
  <w:style w:type="character" w:customStyle="1" w:styleId="TextonotapieCar">
    <w:name w:val="Texto nota pie Car"/>
    <w:basedOn w:val="Fuentedeprrafopredeter"/>
    <w:link w:val="Textonotapie"/>
    <w:uiPriority w:val="99"/>
    <w:rsid w:val="00CE7A1F"/>
    <w:rPr>
      <w:rFonts w:asciiTheme="minorHAnsi" w:eastAsiaTheme="minorHAnsi" w:hAnsiTheme="minorHAnsi" w:cstheme="minorBidi"/>
      <w:lang w:val="en-GB" w:eastAsia="en-US"/>
    </w:rPr>
  </w:style>
  <w:style w:type="character" w:styleId="Refdenotaalpie">
    <w:name w:val="footnote reference"/>
    <w:basedOn w:val="Fuentedeprrafopredeter"/>
    <w:uiPriority w:val="99"/>
    <w:unhideWhenUsed/>
    <w:rsid w:val="00CE7A1F"/>
    <w:rPr>
      <w:vertAlign w:val="superscript"/>
    </w:rPr>
  </w:style>
  <w:style w:type="paragraph" w:styleId="Encabezado">
    <w:name w:val="header"/>
    <w:basedOn w:val="Normal"/>
    <w:link w:val="EncabezadoCar"/>
    <w:uiPriority w:val="99"/>
    <w:unhideWhenUsed/>
    <w:rsid w:val="00CE7A1F"/>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CE7A1F"/>
    <w:rPr>
      <w:rFonts w:asciiTheme="minorHAnsi" w:eastAsiaTheme="minorHAnsi" w:hAnsiTheme="minorHAnsi" w:cstheme="minorBidi"/>
      <w:sz w:val="22"/>
      <w:szCs w:val="22"/>
      <w:lang w:val="en-GB" w:eastAsia="en-US"/>
    </w:rPr>
  </w:style>
  <w:style w:type="paragraph" w:customStyle="1" w:styleId="Default">
    <w:name w:val="Default"/>
    <w:rsid w:val="00CE7A1F"/>
    <w:pPr>
      <w:autoSpaceDE w:val="0"/>
      <w:autoSpaceDN w:val="0"/>
      <w:adjustRightInd w:val="0"/>
    </w:pPr>
    <w:rPr>
      <w:rFonts w:ascii="Calibri" w:eastAsiaTheme="minorHAnsi" w:hAnsi="Calibri" w:cs="Calibri"/>
      <w:color w:val="000000"/>
      <w:sz w:val="24"/>
      <w:szCs w:val="24"/>
      <w:lang w:val="en-GB" w:eastAsia="en-US"/>
    </w:rPr>
  </w:style>
  <w:style w:type="character" w:styleId="Hipervnculo">
    <w:name w:val="Hyperlink"/>
    <w:basedOn w:val="Fuentedeprrafopredeter"/>
    <w:uiPriority w:val="99"/>
    <w:unhideWhenUsed/>
    <w:rsid w:val="00CE7A1F"/>
    <w:rPr>
      <w:color w:val="0000FF" w:themeColor="hyperlink"/>
      <w:u w:val="single"/>
    </w:rPr>
  </w:style>
  <w:style w:type="paragraph" w:styleId="Textodeglobo">
    <w:name w:val="Balloon Text"/>
    <w:basedOn w:val="Normal"/>
    <w:link w:val="TextodegloboCar"/>
    <w:rsid w:val="00CE7A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CE7A1F"/>
    <w:rPr>
      <w:rFonts w:ascii="Tahoma" w:eastAsiaTheme="minorHAnsi" w:hAnsi="Tahoma" w:cs="Tahoma"/>
      <w:sz w:val="16"/>
      <w:szCs w:val="16"/>
      <w:lang w:val="en-GB" w:eastAsia="en-US"/>
    </w:rPr>
  </w:style>
  <w:style w:type="paragraph" w:styleId="HTMLconformatoprevio">
    <w:name w:val="HTML Preformatted"/>
    <w:basedOn w:val="Normal"/>
    <w:link w:val="HTMLconformatoprevioCar"/>
    <w:uiPriority w:val="99"/>
    <w:unhideWhenUsed/>
    <w:rsid w:val="00CE7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CE7A1F"/>
    <w:rPr>
      <w:rFonts w:ascii="Courier New" w:hAnsi="Courier New" w:cs="Courier New"/>
    </w:rPr>
  </w:style>
  <w:style w:type="paragraph" w:styleId="Piedepgina">
    <w:name w:val="footer"/>
    <w:basedOn w:val="Normal"/>
    <w:link w:val="PiedepginaCar"/>
    <w:rsid w:val="00963DE7"/>
    <w:pPr>
      <w:tabs>
        <w:tab w:val="center" w:pos="4252"/>
        <w:tab w:val="right" w:pos="8504"/>
      </w:tabs>
      <w:spacing w:after="0" w:line="240" w:lineRule="auto"/>
    </w:pPr>
  </w:style>
  <w:style w:type="character" w:customStyle="1" w:styleId="PiedepginaCar">
    <w:name w:val="Pie de página Car"/>
    <w:basedOn w:val="Fuentedeprrafopredeter"/>
    <w:link w:val="Piedepgina"/>
    <w:rsid w:val="00963DE7"/>
    <w:rPr>
      <w:rFonts w:asciiTheme="minorHAnsi" w:eastAsiaTheme="minorHAnsi" w:hAnsiTheme="minorHAnsi" w:cstheme="minorBidi"/>
      <w:sz w:val="22"/>
      <w:szCs w:val="22"/>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7A1F"/>
    <w:pPr>
      <w:spacing w:after="200" w:line="276" w:lineRule="auto"/>
    </w:pPr>
    <w:rPr>
      <w:rFonts w:asciiTheme="minorHAnsi" w:eastAsiaTheme="minorHAnsi" w:hAnsiTheme="minorHAnsi" w:cstheme="minorBidi"/>
      <w:sz w:val="22"/>
      <w:szCs w:val="22"/>
      <w:lang w:val="en-GB"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CE7A1F"/>
    <w:pPr>
      <w:spacing w:after="0" w:line="240" w:lineRule="auto"/>
    </w:pPr>
    <w:rPr>
      <w:sz w:val="20"/>
      <w:szCs w:val="20"/>
    </w:rPr>
  </w:style>
  <w:style w:type="character" w:customStyle="1" w:styleId="TextonotapieCar">
    <w:name w:val="Texto nota pie Car"/>
    <w:basedOn w:val="Fuentedeprrafopredeter"/>
    <w:link w:val="Textonotapie"/>
    <w:uiPriority w:val="99"/>
    <w:rsid w:val="00CE7A1F"/>
    <w:rPr>
      <w:rFonts w:asciiTheme="minorHAnsi" w:eastAsiaTheme="minorHAnsi" w:hAnsiTheme="minorHAnsi" w:cstheme="minorBidi"/>
      <w:lang w:val="en-GB" w:eastAsia="en-US"/>
    </w:rPr>
  </w:style>
  <w:style w:type="character" w:styleId="Refdenotaalpie">
    <w:name w:val="footnote reference"/>
    <w:basedOn w:val="Fuentedeprrafopredeter"/>
    <w:uiPriority w:val="99"/>
    <w:unhideWhenUsed/>
    <w:rsid w:val="00CE7A1F"/>
    <w:rPr>
      <w:vertAlign w:val="superscript"/>
    </w:rPr>
  </w:style>
  <w:style w:type="paragraph" w:styleId="Encabezado">
    <w:name w:val="header"/>
    <w:basedOn w:val="Normal"/>
    <w:link w:val="EncabezadoCar"/>
    <w:uiPriority w:val="99"/>
    <w:unhideWhenUsed/>
    <w:rsid w:val="00CE7A1F"/>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CE7A1F"/>
    <w:rPr>
      <w:rFonts w:asciiTheme="minorHAnsi" w:eastAsiaTheme="minorHAnsi" w:hAnsiTheme="minorHAnsi" w:cstheme="minorBidi"/>
      <w:sz w:val="22"/>
      <w:szCs w:val="22"/>
      <w:lang w:val="en-GB" w:eastAsia="en-US"/>
    </w:rPr>
  </w:style>
  <w:style w:type="paragraph" w:customStyle="1" w:styleId="Default">
    <w:name w:val="Default"/>
    <w:rsid w:val="00CE7A1F"/>
    <w:pPr>
      <w:autoSpaceDE w:val="0"/>
      <w:autoSpaceDN w:val="0"/>
      <w:adjustRightInd w:val="0"/>
    </w:pPr>
    <w:rPr>
      <w:rFonts w:ascii="Calibri" w:eastAsiaTheme="minorHAnsi" w:hAnsi="Calibri" w:cs="Calibri"/>
      <w:color w:val="000000"/>
      <w:sz w:val="24"/>
      <w:szCs w:val="24"/>
      <w:lang w:val="en-GB" w:eastAsia="en-US"/>
    </w:rPr>
  </w:style>
  <w:style w:type="character" w:styleId="Hipervnculo">
    <w:name w:val="Hyperlink"/>
    <w:basedOn w:val="Fuentedeprrafopredeter"/>
    <w:uiPriority w:val="99"/>
    <w:unhideWhenUsed/>
    <w:rsid w:val="00CE7A1F"/>
    <w:rPr>
      <w:color w:val="0000FF" w:themeColor="hyperlink"/>
      <w:u w:val="single"/>
    </w:rPr>
  </w:style>
  <w:style w:type="paragraph" w:styleId="Textodeglobo">
    <w:name w:val="Balloon Text"/>
    <w:basedOn w:val="Normal"/>
    <w:link w:val="TextodegloboCar"/>
    <w:rsid w:val="00CE7A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CE7A1F"/>
    <w:rPr>
      <w:rFonts w:ascii="Tahoma" w:eastAsiaTheme="minorHAnsi" w:hAnsi="Tahoma" w:cs="Tahoma"/>
      <w:sz w:val="16"/>
      <w:szCs w:val="16"/>
      <w:lang w:val="en-GB" w:eastAsia="en-US"/>
    </w:rPr>
  </w:style>
  <w:style w:type="paragraph" w:styleId="HTMLconformatoprevio">
    <w:name w:val="HTML Preformatted"/>
    <w:basedOn w:val="Normal"/>
    <w:link w:val="HTMLconformatoprevioCar"/>
    <w:uiPriority w:val="99"/>
    <w:unhideWhenUsed/>
    <w:rsid w:val="00CE7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CE7A1F"/>
    <w:rPr>
      <w:rFonts w:ascii="Courier New" w:hAnsi="Courier New" w:cs="Courier New"/>
    </w:rPr>
  </w:style>
  <w:style w:type="paragraph" w:styleId="Piedepgina">
    <w:name w:val="footer"/>
    <w:basedOn w:val="Normal"/>
    <w:link w:val="PiedepginaCar"/>
    <w:rsid w:val="00963DE7"/>
    <w:pPr>
      <w:tabs>
        <w:tab w:val="center" w:pos="4252"/>
        <w:tab w:val="right" w:pos="8504"/>
      </w:tabs>
      <w:spacing w:after="0" w:line="240" w:lineRule="auto"/>
    </w:pPr>
  </w:style>
  <w:style w:type="character" w:customStyle="1" w:styleId="PiedepginaCar">
    <w:name w:val="Pie de página Car"/>
    <w:basedOn w:val="Fuentedeprrafopredeter"/>
    <w:link w:val="Piedepgina"/>
    <w:rsid w:val="00963DE7"/>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0602">
      <w:bodyDiv w:val="1"/>
      <w:marLeft w:val="0"/>
      <w:marRight w:val="0"/>
      <w:marTop w:val="0"/>
      <w:marBottom w:val="0"/>
      <w:divBdr>
        <w:top w:val="none" w:sz="0" w:space="0" w:color="auto"/>
        <w:left w:val="none" w:sz="0" w:space="0" w:color="auto"/>
        <w:bottom w:val="none" w:sz="0" w:space="0" w:color="auto"/>
        <w:right w:val="none" w:sz="0" w:space="0" w:color="auto"/>
      </w:divBdr>
    </w:div>
    <w:div w:id="252860928">
      <w:bodyDiv w:val="1"/>
      <w:marLeft w:val="0"/>
      <w:marRight w:val="0"/>
      <w:marTop w:val="0"/>
      <w:marBottom w:val="0"/>
      <w:divBdr>
        <w:top w:val="none" w:sz="0" w:space="0" w:color="auto"/>
        <w:left w:val="none" w:sz="0" w:space="0" w:color="auto"/>
        <w:bottom w:val="none" w:sz="0" w:space="0" w:color="auto"/>
        <w:right w:val="none" w:sz="0" w:space="0" w:color="auto"/>
      </w:divBdr>
    </w:div>
    <w:div w:id="517669108">
      <w:bodyDiv w:val="1"/>
      <w:marLeft w:val="0"/>
      <w:marRight w:val="0"/>
      <w:marTop w:val="0"/>
      <w:marBottom w:val="0"/>
      <w:divBdr>
        <w:top w:val="none" w:sz="0" w:space="0" w:color="auto"/>
        <w:left w:val="none" w:sz="0" w:space="0" w:color="auto"/>
        <w:bottom w:val="none" w:sz="0" w:space="0" w:color="auto"/>
        <w:right w:val="none" w:sz="0" w:space="0" w:color="auto"/>
      </w:divBdr>
    </w:div>
    <w:div w:id="590817330">
      <w:bodyDiv w:val="1"/>
      <w:marLeft w:val="0"/>
      <w:marRight w:val="0"/>
      <w:marTop w:val="0"/>
      <w:marBottom w:val="0"/>
      <w:divBdr>
        <w:top w:val="none" w:sz="0" w:space="0" w:color="auto"/>
        <w:left w:val="none" w:sz="0" w:space="0" w:color="auto"/>
        <w:bottom w:val="none" w:sz="0" w:space="0" w:color="auto"/>
        <w:right w:val="none" w:sz="0" w:space="0" w:color="auto"/>
      </w:divBdr>
    </w:div>
    <w:div w:id="603077935">
      <w:bodyDiv w:val="1"/>
      <w:marLeft w:val="0"/>
      <w:marRight w:val="0"/>
      <w:marTop w:val="0"/>
      <w:marBottom w:val="0"/>
      <w:divBdr>
        <w:top w:val="none" w:sz="0" w:space="0" w:color="auto"/>
        <w:left w:val="none" w:sz="0" w:space="0" w:color="auto"/>
        <w:bottom w:val="none" w:sz="0" w:space="0" w:color="auto"/>
        <w:right w:val="none" w:sz="0" w:space="0" w:color="auto"/>
      </w:divBdr>
    </w:div>
    <w:div w:id="764543500">
      <w:bodyDiv w:val="1"/>
      <w:marLeft w:val="0"/>
      <w:marRight w:val="0"/>
      <w:marTop w:val="0"/>
      <w:marBottom w:val="0"/>
      <w:divBdr>
        <w:top w:val="none" w:sz="0" w:space="0" w:color="auto"/>
        <w:left w:val="none" w:sz="0" w:space="0" w:color="auto"/>
        <w:bottom w:val="none" w:sz="0" w:space="0" w:color="auto"/>
        <w:right w:val="none" w:sz="0" w:space="0" w:color="auto"/>
      </w:divBdr>
    </w:div>
    <w:div w:id="821845953">
      <w:bodyDiv w:val="1"/>
      <w:marLeft w:val="0"/>
      <w:marRight w:val="0"/>
      <w:marTop w:val="0"/>
      <w:marBottom w:val="0"/>
      <w:divBdr>
        <w:top w:val="none" w:sz="0" w:space="0" w:color="auto"/>
        <w:left w:val="none" w:sz="0" w:space="0" w:color="auto"/>
        <w:bottom w:val="none" w:sz="0" w:space="0" w:color="auto"/>
        <w:right w:val="none" w:sz="0" w:space="0" w:color="auto"/>
      </w:divBdr>
    </w:div>
    <w:div w:id="879558709">
      <w:bodyDiv w:val="1"/>
      <w:marLeft w:val="0"/>
      <w:marRight w:val="0"/>
      <w:marTop w:val="0"/>
      <w:marBottom w:val="0"/>
      <w:divBdr>
        <w:top w:val="none" w:sz="0" w:space="0" w:color="auto"/>
        <w:left w:val="none" w:sz="0" w:space="0" w:color="auto"/>
        <w:bottom w:val="none" w:sz="0" w:space="0" w:color="auto"/>
        <w:right w:val="none" w:sz="0" w:space="0" w:color="auto"/>
      </w:divBdr>
    </w:div>
    <w:div w:id="1107772382">
      <w:bodyDiv w:val="1"/>
      <w:marLeft w:val="0"/>
      <w:marRight w:val="0"/>
      <w:marTop w:val="0"/>
      <w:marBottom w:val="0"/>
      <w:divBdr>
        <w:top w:val="none" w:sz="0" w:space="0" w:color="auto"/>
        <w:left w:val="none" w:sz="0" w:space="0" w:color="auto"/>
        <w:bottom w:val="none" w:sz="0" w:space="0" w:color="auto"/>
        <w:right w:val="none" w:sz="0" w:space="0" w:color="auto"/>
      </w:divBdr>
    </w:div>
    <w:div w:id="1185053313">
      <w:bodyDiv w:val="1"/>
      <w:marLeft w:val="0"/>
      <w:marRight w:val="0"/>
      <w:marTop w:val="0"/>
      <w:marBottom w:val="0"/>
      <w:divBdr>
        <w:top w:val="none" w:sz="0" w:space="0" w:color="auto"/>
        <w:left w:val="none" w:sz="0" w:space="0" w:color="auto"/>
        <w:bottom w:val="none" w:sz="0" w:space="0" w:color="auto"/>
        <w:right w:val="none" w:sz="0" w:space="0" w:color="auto"/>
      </w:divBdr>
    </w:div>
    <w:div w:id="1434403770">
      <w:bodyDiv w:val="1"/>
      <w:marLeft w:val="0"/>
      <w:marRight w:val="0"/>
      <w:marTop w:val="0"/>
      <w:marBottom w:val="0"/>
      <w:divBdr>
        <w:top w:val="none" w:sz="0" w:space="0" w:color="auto"/>
        <w:left w:val="none" w:sz="0" w:space="0" w:color="auto"/>
        <w:bottom w:val="none" w:sz="0" w:space="0" w:color="auto"/>
        <w:right w:val="none" w:sz="0" w:space="0" w:color="auto"/>
      </w:divBdr>
    </w:div>
    <w:div w:id="1578901395">
      <w:bodyDiv w:val="1"/>
      <w:marLeft w:val="0"/>
      <w:marRight w:val="0"/>
      <w:marTop w:val="0"/>
      <w:marBottom w:val="0"/>
      <w:divBdr>
        <w:top w:val="none" w:sz="0" w:space="0" w:color="auto"/>
        <w:left w:val="none" w:sz="0" w:space="0" w:color="auto"/>
        <w:bottom w:val="none" w:sz="0" w:space="0" w:color="auto"/>
        <w:right w:val="none" w:sz="0" w:space="0" w:color="auto"/>
      </w:divBdr>
    </w:div>
    <w:div w:id="1777211578">
      <w:bodyDiv w:val="1"/>
      <w:marLeft w:val="0"/>
      <w:marRight w:val="0"/>
      <w:marTop w:val="0"/>
      <w:marBottom w:val="0"/>
      <w:divBdr>
        <w:top w:val="none" w:sz="0" w:space="0" w:color="auto"/>
        <w:left w:val="none" w:sz="0" w:space="0" w:color="auto"/>
        <w:bottom w:val="none" w:sz="0" w:space="0" w:color="auto"/>
        <w:right w:val="none" w:sz="0" w:space="0" w:color="auto"/>
      </w:divBdr>
    </w:div>
    <w:div w:id="187730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graham@helpage.org"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ilo.org/dyn/normlex/es/f?p=NORMLEXPUB:12100:0::NO::P12100_INSTRUMENT_ID:3065524" TargetMode="External"/><Relationship Id="rId4" Type="http://schemas.openxmlformats.org/officeDocument/2006/relationships/hyperlink" Target="http://ec.europa.eu/europeaid/documents/2013-02-22_communication_a_decent_life_for_all_post_2015_en.pdf" TargetMode="External"/><Relationship Id="rId5" Type="http://schemas.openxmlformats.org/officeDocument/2006/relationships/hyperlink" Target="http://ec.europa.eu/europeaid/sites/devco/files/part1-a-decent-life-for-all.pdf" TargetMode="External"/><Relationship Id="rId1" Type="http://schemas.openxmlformats.org/officeDocument/2006/relationships/hyperlink" Target="http://www.consilium.europa.eu/uedocs/cms_data/docs/pressdata/EN/foraff/146311.pdf" TargetMode="External"/><Relationship Id="rId2" Type="http://schemas.openxmlformats.org/officeDocument/2006/relationships/hyperlink" Target="https://sustainabledevelopment.un.org/focussd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846C8-D0B2-0F4F-8698-A86E9ED98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1089</Words>
  <Characters>5992</Characters>
  <Application>Microsoft Macintosh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HelpAge Int España</dc:creator>
  <cp:lastModifiedBy>Neil-ALC</cp:lastModifiedBy>
  <cp:revision>4</cp:revision>
  <dcterms:created xsi:type="dcterms:W3CDTF">2015-02-23T17:11:00Z</dcterms:created>
  <dcterms:modified xsi:type="dcterms:W3CDTF">2015-02-23T17:16:00Z</dcterms:modified>
</cp:coreProperties>
</file>