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5A" w:rsidRPr="003A3C15" w:rsidRDefault="009D7A5A" w:rsidP="00525A62">
      <w:pPr>
        <w:pBdr>
          <w:bottom w:val="single" w:sz="4" w:space="1" w:color="auto"/>
        </w:pBdr>
        <w:rPr>
          <w:b/>
          <w:color w:val="C00000"/>
        </w:rPr>
      </w:pPr>
      <w:r w:rsidRPr="003A3C15">
        <w:rPr>
          <w:b/>
          <w:color w:val="C00000"/>
        </w:rPr>
        <w:t xml:space="preserve">HelpAge </w:t>
      </w:r>
      <w:r w:rsidR="00FE0AEC" w:rsidRPr="003A3C15">
        <w:rPr>
          <w:b/>
          <w:color w:val="C00000"/>
        </w:rPr>
        <w:t xml:space="preserve">response to </w:t>
      </w:r>
      <w:r w:rsidR="00961E3A" w:rsidRPr="003A3C15">
        <w:rPr>
          <w:b/>
          <w:color w:val="C00000"/>
        </w:rPr>
        <w:t xml:space="preserve">the </w:t>
      </w:r>
      <w:r w:rsidRPr="003A3C15">
        <w:rPr>
          <w:b/>
          <w:color w:val="C00000"/>
        </w:rPr>
        <w:t>Dec</w:t>
      </w:r>
      <w:r w:rsidR="00FE0AEC" w:rsidRPr="003A3C15">
        <w:rPr>
          <w:b/>
          <w:color w:val="C00000"/>
        </w:rPr>
        <w:t xml:space="preserve">ember </w:t>
      </w:r>
      <w:r w:rsidRPr="003A3C15">
        <w:rPr>
          <w:b/>
          <w:color w:val="C00000"/>
        </w:rPr>
        <w:t xml:space="preserve">2014 </w:t>
      </w:r>
      <w:r w:rsidR="00961E3A" w:rsidRPr="003A3C15">
        <w:rPr>
          <w:b/>
          <w:color w:val="C00000"/>
        </w:rPr>
        <w:t>EU Council Conclusions on the post-2015 framework</w:t>
      </w:r>
      <w:r w:rsidR="008A7FE4" w:rsidRPr="003A3C15">
        <w:rPr>
          <w:b/>
          <w:color w:val="C00000"/>
        </w:rPr>
        <w:br/>
      </w:r>
    </w:p>
    <w:p w:rsidR="00056427" w:rsidRPr="003A3C15" w:rsidRDefault="00056427" w:rsidP="00056427">
      <w:pPr>
        <w:pStyle w:val="Default"/>
        <w:rPr>
          <w:sz w:val="22"/>
          <w:szCs w:val="22"/>
        </w:rPr>
      </w:pPr>
      <w:r w:rsidRPr="003A3C15">
        <w:rPr>
          <w:sz w:val="22"/>
          <w:szCs w:val="22"/>
        </w:rPr>
        <w:t xml:space="preserve">The </w:t>
      </w:r>
      <w:r w:rsidR="00075117" w:rsidRPr="003A3C15">
        <w:rPr>
          <w:sz w:val="22"/>
          <w:szCs w:val="22"/>
        </w:rPr>
        <w:t xml:space="preserve">independent Affiliates of the </w:t>
      </w:r>
      <w:r w:rsidRPr="003A3C15">
        <w:rPr>
          <w:sz w:val="22"/>
          <w:szCs w:val="22"/>
        </w:rPr>
        <w:t xml:space="preserve">HelpAge EU network </w:t>
      </w:r>
      <w:r w:rsidR="004650FF" w:rsidRPr="003A3C15">
        <w:rPr>
          <w:sz w:val="22"/>
          <w:szCs w:val="22"/>
        </w:rPr>
        <w:t xml:space="preserve">would like to </w:t>
      </w:r>
      <w:r w:rsidRPr="003A3C15">
        <w:rPr>
          <w:sz w:val="22"/>
          <w:szCs w:val="22"/>
        </w:rPr>
        <w:t xml:space="preserve">congratulate the EU </w:t>
      </w:r>
      <w:r w:rsidR="00DA1DA4" w:rsidRPr="003A3C15">
        <w:rPr>
          <w:sz w:val="22"/>
          <w:szCs w:val="22"/>
        </w:rPr>
        <w:t xml:space="preserve">Member States </w:t>
      </w:r>
      <w:r w:rsidRPr="003A3C15">
        <w:rPr>
          <w:sz w:val="22"/>
          <w:szCs w:val="22"/>
        </w:rPr>
        <w:t>on the adoption of the Council Conclusions on a transformative post-2015 on 16 December</w:t>
      </w:r>
      <w:r w:rsidR="00AE1A52" w:rsidRPr="003A3C15">
        <w:rPr>
          <w:rStyle w:val="FootnoteReference"/>
          <w:sz w:val="22"/>
          <w:szCs w:val="22"/>
        </w:rPr>
        <w:footnoteReference w:id="1"/>
      </w:r>
      <w:r w:rsidRPr="003A3C15">
        <w:rPr>
          <w:sz w:val="22"/>
          <w:szCs w:val="22"/>
        </w:rPr>
        <w:t xml:space="preserve">.  </w:t>
      </w:r>
    </w:p>
    <w:p w:rsidR="008324EA" w:rsidRPr="003A3C15" w:rsidRDefault="008324EA" w:rsidP="00056427">
      <w:pPr>
        <w:pStyle w:val="Default"/>
        <w:rPr>
          <w:sz w:val="22"/>
          <w:szCs w:val="22"/>
        </w:rPr>
      </w:pPr>
    </w:p>
    <w:p w:rsidR="00056427" w:rsidRPr="003A3C15" w:rsidRDefault="008324EA" w:rsidP="00F85047">
      <w:pPr>
        <w:pStyle w:val="Default"/>
        <w:rPr>
          <w:sz w:val="22"/>
          <w:szCs w:val="22"/>
        </w:rPr>
      </w:pPr>
      <w:r w:rsidRPr="003A3C15">
        <w:rPr>
          <w:sz w:val="22"/>
          <w:szCs w:val="22"/>
        </w:rPr>
        <w:t xml:space="preserve">We welcome the emphasis on a single, universal post-2015 framework that integrates the three dimensions of sustainable development.  We also commend the continued </w:t>
      </w:r>
      <w:r w:rsidR="00480061" w:rsidRPr="003A3C15">
        <w:rPr>
          <w:sz w:val="22"/>
          <w:szCs w:val="22"/>
        </w:rPr>
        <w:t xml:space="preserve">focus </w:t>
      </w:r>
      <w:r w:rsidRPr="003A3C15">
        <w:rPr>
          <w:sz w:val="22"/>
          <w:szCs w:val="22"/>
        </w:rPr>
        <w:t xml:space="preserve">on ensuring a human rights-based approach in the future framework. We </w:t>
      </w:r>
      <w:r w:rsidR="007921A0">
        <w:rPr>
          <w:sz w:val="22"/>
          <w:szCs w:val="22"/>
        </w:rPr>
        <w:t xml:space="preserve">expect </w:t>
      </w:r>
      <w:r w:rsidRPr="003A3C15">
        <w:rPr>
          <w:sz w:val="22"/>
          <w:szCs w:val="22"/>
        </w:rPr>
        <w:t xml:space="preserve">that this will be further developed in the intergovernmental negotiations in order to </w:t>
      </w:r>
      <w:r w:rsidR="00A66106">
        <w:rPr>
          <w:sz w:val="22"/>
          <w:szCs w:val="22"/>
        </w:rPr>
        <w:t xml:space="preserve">more </w:t>
      </w:r>
      <w:r w:rsidRPr="003A3C15">
        <w:rPr>
          <w:sz w:val="22"/>
          <w:szCs w:val="22"/>
        </w:rPr>
        <w:t>concretely identify and address the structural causes of poverty, inequality and climate change</w:t>
      </w:r>
      <w:r w:rsidR="002F541A">
        <w:rPr>
          <w:sz w:val="22"/>
          <w:szCs w:val="22"/>
        </w:rPr>
        <w:t xml:space="preserve"> referred to in the Conclusions</w:t>
      </w:r>
      <w:r w:rsidRPr="003A3C15">
        <w:rPr>
          <w:sz w:val="22"/>
          <w:szCs w:val="22"/>
        </w:rPr>
        <w:t>.</w:t>
      </w:r>
      <w:r w:rsidR="00F85047" w:rsidRPr="003A3C15">
        <w:rPr>
          <w:sz w:val="22"/>
          <w:szCs w:val="22"/>
        </w:rPr>
        <w:br/>
      </w:r>
    </w:p>
    <w:p w:rsidR="00F85047" w:rsidRPr="003A3C15" w:rsidRDefault="00F85047" w:rsidP="00F85047">
      <w:pPr>
        <w:pStyle w:val="Default"/>
        <w:rPr>
          <w:sz w:val="22"/>
          <w:szCs w:val="22"/>
        </w:rPr>
      </w:pPr>
      <w:r w:rsidRPr="003A3C15">
        <w:rPr>
          <w:sz w:val="22"/>
          <w:szCs w:val="22"/>
        </w:rPr>
        <w:t xml:space="preserve">Below we present specific responses to </w:t>
      </w:r>
      <w:r w:rsidR="007B63EE" w:rsidRPr="003A3C15">
        <w:rPr>
          <w:sz w:val="22"/>
          <w:szCs w:val="22"/>
        </w:rPr>
        <w:t xml:space="preserve">certain elements of the Council Conclusions. </w:t>
      </w:r>
      <w:r w:rsidR="00075117" w:rsidRPr="003A3C15">
        <w:rPr>
          <w:sz w:val="22"/>
          <w:szCs w:val="22"/>
        </w:rPr>
        <w:t xml:space="preserve">The HelpAge </w:t>
      </w:r>
      <w:r w:rsidR="007B63EE" w:rsidRPr="003A3C15">
        <w:rPr>
          <w:sz w:val="22"/>
          <w:szCs w:val="22"/>
        </w:rPr>
        <w:t xml:space="preserve">EU </w:t>
      </w:r>
      <w:r w:rsidRPr="003A3C15">
        <w:rPr>
          <w:sz w:val="22"/>
          <w:szCs w:val="22"/>
        </w:rPr>
        <w:t xml:space="preserve">network </w:t>
      </w:r>
      <w:r w:rsidR="00075117" w:rsidRPr="003A3C15">
        <w:rPr>
          <w:sz w:val="22"/>
          <w:szCs w:val="22"/>
        </w:rPr>
        <w:t xml:space="preserve">collectively </w:t>
      </w:r>
      <w:r w:rsidRPr="003A3C15">
        <w:rPr>
          <w:sz w:val="22"/>
          <w:szCs w:val="22"/>
        </w:rPr>
        <w:t xml:space="preserve">views </w:t>
      </w:r>
      <w:r w:rsidR="007B63EE" w:rsidRPr="003A3C15">
        <w:rPr>
          <w:sz w:val="22"/>
          <w:szCs w:val="22"/>
        </w:rPr>
        <w:t xml:space="preserve">these elements </w:t>
      </w:r>
      <w:r w:rsidRPr="003A3C15">
        <w:rPr>
          <w:sz w:val="22"/>
          <w:szCs w:val="22"/>
        </w:rPr>
        <w:t>as</w:t>
      </w:r>
      <w:r w:rsidR="003A3C15">
        <w:rPr>
          <w:sz w:val="22"/>
          <w:szCs w:val="22"/>
        </w:rPr>
        <w:t xml:space="preserve"> those</w:t>
      </w:r>
      <w:r w:rsidRPr="003A3C15">
        <w:rPr>
          <w:sz w:val="22"/>
          <w:szCs w:val="22"/>
        </w:rPr>
        <w:t xml:space="preserve"> most relevant to </w:t>
      </w:r>
      <w:r w:rsidR="007B63EE" w:rsidRPr="003A3C15">
        <w:rPr>
          <w:sz w:val="22"/>
          <w:szCs w:val="22"/>
        </w:rPr>
        <w:t xml:space="preserve">the realities facing </w:t>
      </w:r>
      <w:r w:rsidRPr="003A3C15">
        <w:rPr>
          <w:sz w:val="22"/>
          <w:szCs w:val="22"/>
        </w:rPr>
        <w:t xml:space="preserve">older people </w:t>
      </w:r>
      <w:r w:rsidR="007B63EE" w:rsidRPr="003A3C15">
        <w:rPr>
          <w:sz w:val="22"/>
          <w:szCs w:val="22"/>
        </w:rPr>
        <w:t xml:space="preserve">globally </w:t>
      </w:r>
      <w:r w:rsidRPr="003A3C15">
        <w:rPr>
          <w:sz w:val="22"/>
          <w:szCs w:val="22"/>
        </w:rPr>
        <w:t xml:space="preserve">and the most essential </w:t>
      </w:r>
      <w:r w:rsidR="007B63EE" w:rsidRPr="003A3C15">
        <w:rPr>
          <w:sz w:val="22"/>
          <w:szCs w:val="22"/>
        </w:rPr>
        <w:t xml:space="preserve">for </w:t>
      </w:r>
      <w:r w:rsidRPr="003A3C15">
        <w:rPr>
          <w:sz w:val="22"/>
          <w:szCs w:val="22"/>
        </w:rPr>
        <w:t>a framework that is fully inclusive of all people of all ages.</w:t>
      </w:r>
    </w:p>
    <w:p w:rsidR="00F85047" w:rsidRPr="003A3C15" w:rsidRDefault="00F85047" w:rsidP="00F85047">
      <w:pPr>
        <w:pStyle w:val="Default"/>
        <w:rPr>
          <w:sz w:val="22"/>
          <w:szCs w:val="22"/>
        </w:rPr>
      </w:pPr>
    </w:p>
    <w:p w:rsidR="00F85047" w:rsidRPr="003A3C15" w:rsidRDefault="00F85047" w:rsidP="00F85047">
      <w:pPr>
        <w:pStyle w:val="Default"/>
        <w:rPr>
          <w:b/>
          <w:color w:val="C00000"/>
          <w:sz w:val="22"/>
          <w:szCs w:val="22"/>
        </w:rPr>
      </w:pPr>
      <w:r w:rsidRPr="003A3C15">
        <w:rPr>
          <w:b/>
          <w:color w:val="C00000"/>
          <w:sz w:val="22"/>
          <w:szCs w:val="22"/>
        </w:rPr>
        <w:t>Leave no-one behind</w:t>
      </w:r>
    </w:p>
    <w:p w:rsidR="00F85047" w:rsidRPr="003A3C15" w:rsidRDefault="00C72E56" w:rsidP="00F85047">
      <w:pPr>
        <w:pStyle w:val="Default"/>
        <w:rPr>
          <w:sz w:val="22"/>
          <w:szCs w:val="22"/>
        </w:rPr>
      </w:pPr>
      <w:r w:rsidRPr="003A3C15">
        <w:rPr>
          <w:sz w:val="22"/>
          <w:szCs w:val="22"/>
        </w:rPr>
        <w:t xml:space="preserve">We welcome the explicit reference to older people as well as the importance of ensuring that no person is denied their universal human rights regardless of their </w:t>
      </w:r>
      <w:r w:rsidR="00A764F5">
        <w:rPr>
          <w:sz w:val="22"/>
          <w:szCs w:val="22"/>
        </w:rPr>
        <w:t xml:space="preserve">age, </w:t>
      </w:r>
      <w:r w:rsidRPr="003A3C15">
        <w:rPr>
          <w:sz w:val="22"/>
          <w:szCs w:val="22"/>
        </w:rPr>
        <w:t>among other factors.</w:t>
      </w:r>
      <w:r w:rsidR="00EC6338" w:rsidRPr="003A3C15">
        <w:rPr>
          <w:sz w:val="22"/>
          <w:szCs w:val="22"/>
        </w:rPr>
        <w:t xml:space="preserve"> However, we note that </w:t>
      </w:r>
      <w:r w:rsidR="00A764F5">
        <w:rPr>
          <w:sz w:val="22"/>
          <w:szCs w:val="22"/>
        </w:rPr>
        <w:t>the reference</w:t>
      </w:r>
      <w:r w:rsidR="00EC6338" w:rsidRPr="003A3C15">
        <w:rPr>
          <w:sz w:val="22"/>
          <w:szCs w:val="22"/>
        </w:rPr>
        <w:t xml:space="preserve"> </w:t>
      </w:r>
      <w:r w:rsidR="00A764F5">
        <w:rPr>
          <w:sz w:val="22"/>
          <w:szCs w:val="22"/>
        </w:rPr>
        <w:t xml:space="preserve">is specifically </w:t>
      </w:r>
      <w:r w:rsidR="00EC6338" w:rsidRPr="003A3C15">
        <w:rPr>
          <w:sz w:val="22"/>
          <w:szCs w:val="22"/>
        </w:rPr>
        <w:t>in the context of vulnerability</w:t>
      </w:r>
      <w:r w:rsidR="00FD5A8E">
        <w:rPr>
          <w:sz w:val="22"/>
          <w:szCs w:val="22"/>
        </w:rPr>
        <w:t xml:space="preserve">. </w:t>
      </w:r>
      <w:r w:rsidR="008D4CEC">
        <w:rPr>
          <w:sz w:val="22"/>
          <w:szCs w:val="22"/>
        </w:rPr>
        <w:t xml:space="preserve"> I</w:t>
      </w:r>
      <w:r w:rsidR="00FD5A8E">
        <w:rPr>
          <w:sz w:val="22"/>
          <w:szCs w:val="22"/>
        </w:rPr>
        <w:t xml:space="preserve">t is also important </w:t>
      </w:r>
      <w:r w:rsidR="00EC6338" w:rsidRPr="003A3C15">
        <w:rPr>
          <w:sz w:val="22"/>
          <w:szCs w:val="22"/>
        </w:rPr>
        <w:t xml:space="preserve">to recognise the vast contributions and capacity of the world’s growing numbers of older people.  </w:t>
      </w:r>
    </w:p>
    <w:p w:rsidR="00C72E56" w:rsidRPr="003A3C15" w:rsidRDefault="00C72E56" w:rsidP="00F85047">
      <w:pPr>
        <w:pStyle w:val="Default"/>
        <w:rPr>
          <w:sz w:val="22"/>
          <w:szCs w:val="22"/>
        </w:rPr>
      </w:pPr>
    </w:p>
    <w:p w:rsidR="00C72E56" w:rsidRPr="003A3C15" w:rsidRDefault="00277AE8" w:rsidP="00F85047">
      <w:pPr>
        <w:pStyle w:val="Default"/>
        <w:rPr>
          <w:sz w:val="22"/>
          <w:szCs w:val="22"/>
        </w:rPr>
      </w:pPr>
      <w:r w:rsidRPr="003A3C15">
        <w:rPr>
          <w:sz w:val="22"/>
          <w:szCs w:val="22"/>
        </w:rPr>
        <w:t>The reference to the O</w:t>
      </w:r>
      <w:r w:rsidR="00B1524F" w:rsidRPr="003A3C15">
        <w:rPr>
          <w:sz w:val="22"/>
          <w:szCs w:val="22"/>
        </w:rPr>
        <w:t xml:space="preserve">pen </w:t>
      </w:r>
      <w:r w:rsidRPr="003A3C15">
        <w:rPr>
          <w:sz w:val="22"/>
          <w:szCs w:val="22"/>
        </w:rPr>
        <w:t>W</w:t>
      </w:r>
      <w:r w:rsidR="00B1524F" w:rsidRPr="003A3C15">
        <w:rPr>
          <w:sz w:val="22"/>
          <w:szCs w:val="22"/>
        </w:rPr>
        <w:t xml:space="preserve">orking </w:t>
      </w:r>
      <w:r w:rsidRPr="003A3C15">
        <w:rPr>
          <w:sz w:val="22"/>
          <w:szCs w:val="22"/>
        </w:rPr>
        <w:t>G</w:t>
      </w:r>
      <w:r w:rsidR="00B1524F" w:rsidRPr="003A3C15">
        <w:rPr>
          <w:sz w:val="22"/>
          <w:szCs w:val="22"/>
        </w:rPr>
        <w:t>roup</w:t>
      </w:r>
      <w:r w:rsidR="008D2B30" w:rsidRPr="003A3C15">
        <w:rPr>
          <w:rStyle w:val="FootnoteReference"/>
          <w:sz w:val="22"/>
          <w:szCs w:val="22"/>
        </w:rPr>
        <w:footnoteReference w:id="2"/>
      </w:r>
      <w:r w:rsidR="007B63EE" w:rsidRPr="003A3C15">
        <w:rPr>
          <w:sz w:val="22"/>
          <w:szCs w:val="22"/>
        </w:rPr>
        <w:t>’s</w:t>
      </w:r>
      <w:r w:rsidRPr="003A3C15">
        <w:rPr>
          <w:sz w:val="22"/>
          <w:szCs w:val="22"/>
        </w:rPr>
        <w:t xml:space="preserve"> </w:t>
      </w:r>
      <w:r w:rsidR="00B1524F" w:rsidRPr="003A3C15">
        <w:rPr>
          <w:sz w:val="22"/>
          <w:szCs w:val="22"/>
        </w:rPr>
        <w:t xml:space="preserve">(OWG) </w:t>
      </w:r>
      <w:r w:rsidRPr="003A3C15">
        <w:rPr>
          <w:sz w:val="22"/>
          <w:szCs w:val="22"/>
        </w:rPr>
        <w:t>commitment to disaggregate data by income, gender, age, and other factors</w:t>
      </w:r>
      <w:r w:rsidR="00D7082A" w:rsidRPr="003A3C15">
        <w:rPr>
          <w:sz w:val="22"/>
          <w:szCs w:val="22"/>
        </w:rPr>
        <w:t xml:space="preserve"> to ensure that no-one is left behind</w:t>
      </w:r>
      <w:r w:rsidR="00B1524F" w:rsidRPr="003A3C15">
        <w:rPr>
          <w:sz w:val="22"/>
          <w:szCs w:val="22"/>
        </w:rPr>
        <w:t xml:space="preserve"> is very welcome</w:t>
      </w:r>
      <w:r w:rsidR="00D7082A" w:rsidRPr="003A3C15">
        <w:rPr>
          <w:sz w:val="22"/>
          <w:szCs w:val="22"/>
        </w:rPr>
        <w:t>.</w:t>
      </w:r>
      <w:r w:rsidR="00697657" w:rsidRPr="003A3C15">
        <w:rPr>
          <w:sz w:val="22"/>
          <w:szCs w:val="22"/>
        </w:rPr>
        <w:t xml:space="preserve"> </w:t>
      </w:r>
      <w:r w:rsidR="009334B7" w:rsidRPr="003A3C15">
        <w:rPr>
          <w:sz w:val="22"/>
          <w:szCs w:val="22"/>
        </w:rPr>
        <w:t xml:space="preserve">We agree that the need to develop statistical capabilities is also important, particularly given the </w:t>
      </w:r>
      <w:r w:rsidR="00B1524F" w:rsidRPr="003A3C15">
        <w:rPr>
          <w:sz w:val="22"/>
          <w:szCs w:val="22"/>
        </w:rPr>
        <w:t>scarcity</w:t>
      </w:r>
      <w:r w:rsidR="009334B7" w:rsidRPr="003A3C15">
        <w:rPr>
          <w:sz w:val="22"/>
          <w:szCs w:val="22"/>
        </w:rPr>
        <w:t xml:space="preserve"> of data relating to </w:t>
      </w:r>
      <w:r w:rsidR="00FA26CB">
        <w:rPr>
          <w:sz w:val="22"/>
          <w:szCs w:val="22"/>
        </w:rPr>
        <w:t xml:space="preserve">some issues, especially </w:t>
      </w:r>
      <w:r w:rsidR="000747A0">
        <w:rPr>
          <w:sz w:val="22"/>
          <w:szCs w:val="22"/>
        </w:rPr>
        <w:t xml:space="preserve">older </w:t>
      </w:r>
      <w:r w:rsidR="009334B7" w:rsidRPr="003A3C15">
        <w:rPr>
          <w:sz w:val="22"/>
          <w:szCs w:val="22"/>
        </w:rPr>
        <w:t>age</w:t>
      </w:r>
      <w:r w:rsidR="007E2E6A" w:rsidRPr="003A3C15">
        <w:rPr>
          <w:sz w:val="22"/>
          <w:szCs w:val="22"/>
        </w:rPr>
        <w:t xml:space="preserve">. </w:t>
      </w:r>
      <w:r w:rsidR="000C6BD4">
        <w:rPr>
          <w:sz w:val="22"/>
          <w:szCs w:val="22"/>
        </w:rPr>
        <w:t xml:space="preserve">EU Member States should be mindful of the fact </w:t>
      </w:r>
      <w:r w:rsidR="002B4702">
        <w:rPr>
          <w:sz w:val="22"/>
          <w:szCs w:val="22"/>
        </w:rPr>
        <w:t>that t</w:t>
      </w:r>
      <w:r w:rsidR="007E2E6A" w:rsidRPr="003A3C15">
        <w:rPr>
          <w:sz w:val="22"/>
          <w:szCs w:val="22"/>
        </w:rPr>
        <w:t xml:space="preserve">his </w:t>
      </w:r>
      <w:r w:rsidR="000F503C" w:rsidRPr="003A3C15">
        <w:rPr>
          <w:sz w:val="22"/>
          <w:szCs w:val="22"/>
        </w:rPr>
        <w:t xml:space="preserve">evidence gap </w:t>
      </w:r>
      <w:r w:rsidR="00202641" w:rsidRPr="003A3C15">
        <w:rPr>
          <w:sz w:val="22"/>
          <w:szCs w:val="22"/>
        </w:rPr>
        <w:t xml:space="preserve">has in part been driven by the invisibility of this issue in the MDG framework. </w:t>
      </w:r>
      <w:r w:rsidR="000F503C" w:rsidRPr="003A3C15">
        <w:rPr>
          <w:sz w:val="22"/>
          <w:szCs w:val="22"/>
        </w:rPr>
        <w:t xml:space="preserve"> </w:t>
      </w:r>
    </w:p>
    <w:p w:rsidR="00295819" w:rsidRPr="003A3C15" w:rsidRDefault="00295819" w:rsidP="00F85047">
      <w:pPr>
        <w:pStyle w:val="Default"/>
        <w:rPr>
          <w:sz w:val="22"/>
          <w:szCs w:val="22"/>
        </w:rPr>
      </w:pPr>
    </w:p>
    <w:p w:rsidR="00C72E56" w:rsidRPr="003A3C15" w:rsidRDefault="002662F9" w:rsidP="00F85047">
      <w:pPr>
        <w:pStyle w:val="Default"/>
        <w:rPr>
          <w:b/>
          <w:color w:val="C00000"/>
          <w:sz w:val="22"/>
          <w:szCs w:val="22"/>
        </w:rPr>
      </w:pPr>
      <w:r w:rsidRPr="003A3C15">
        <w:rPr>
          <w:b/>
          <w:color w:val="C00000"/>
          <w:sz w:val="22"/>
          <w:szCs w:val="22"/>
        </w:rPr>
        <w:t>Social protection</w:t>
      </w:r>
    </w:p>
    <w:p w:rsidR="00154C2B" w:rsidRPr="003A3C15" w:rsidRDefault="00BA43A5" w:rsidP="00AB7610">
      <w:pPr>
        <w:pStyle w:val="Default"/>
        <w:rPr>
          <w:b/>
          <w:sz w:val="22"/>
          <w:szCs w:val="22"/>
        </w:rPr>
      </w:pPr>
      <w:r w:rsidRPr="003A3C15">
        <w:rPr>
          <w:sz w:val="22"/>
          <w:szCs w:val="22"/>
        </w:rPr>
        <w:t xml:space="preserve">We are pleased to see the continued reference to </w:t>
      </w:r>
      <w:r w:rsidR="00B67B48">
        <w:rPr>
          <w:sz w:val="22"/>
          <w:szCs w:val="22"/>
        </w:rPr>
        <w:t>‘</w:t>
      </w:r>
      <w:r w:rsidRPr="003A3C15">
        <w:rPr>
          <w:i/>
          <w:sz w:val="22"/>
          <w:szCs w:val="22"/>
        </w:rPr>
        <w:t>social protection for all</w:t>
      </w:r>
      <w:r w:rsidR="00B67B48">
        <w:rPr>
          <w:i/>
          <w:sz w:val="22"/>
          <w:szCs w:val="22"/>
        </w:rPr>
        <w:t>’</w:t>
      </w:r>
      <w:r w:rsidR="000619E7" w:rsidRPr="003A3C15">
        <w:rPr>
          <w:sz w:val="22"/>
          <w:szCs w:val="22"/>
        </w:rPr>
        <w:t xml:space="preserve"> </w:t>
      </w:r>
      <w:r w:rsidR="008109AA" w:rsidRPr="003A3C15">
        <w:rPr>
          <w:sz w:val="22"/>
          <w:szCs w:val="22"/>
        </w:rPr>
        <w:t>in line with the ILO’s Recommendation 202 on National Social Protection</w:t>
      </w:r>
      <w:r w:rsidR="008D2B30" w:rsidRPr="003A3C15">
        <w:rPr>
          <w:sz w:val="22"/>
          <w:szCs w:val="22"/>
        </w:rPr>
        <w:t xml:space="preserve"> </w:t>
      </w:r>
      <w:r w:rsidR="008109AA" w:rsidRPr="003A3C15">
        <w:rPr>
          <w:sz w:val="22"/>
          <w:szCs w:val="22"/>
        </w:rPr>
        <w:t>Floors</w:t>
      </w:r>
      <w:r w:rsidR="008D2B30" w:rsidRPr="003A3C15">
        <w:rPr>
          <w:rStyle w:val="FootnoteReference"/>
          <w:sz w:val="22"/>
          <w:szCs w:val="22"/>
        </w:rPr>
        <w:footnoteReference w:id="3"/>
      </w:r>
      <w:r w:rsidR="008109AA" w:rsidRPr="003A3C15">
        <w:rPr>
          <w:sz w:val="22"/>
          <w:szCs w:val="22"/>
        </w:rPr>
        <w:t xml:space="preserve"> and </w:t>
      </w:r>
      <w:r w:rsidR="00126004">
        <w:rPr>
          <w:sz w:val="22"/>
          <w:szCs w:val="22"/>
        </w:rPr>
        <w:t xml:space="preserve">reflecting </w:t>
      </w:r>
      <w:r w:rsidR="00DB2FB2">
        <w:rPr>
          <w:sz w:val="22"/>
          <w:szCs w:val="22"/>
        </w:rPr>
        <w:t>the OWG Outcome Document T</w:t>
      </w:r>
      <w:r w:rsidR="008109AA" w:rsidRPr="003A3C15">
        <w:rPr>
          <w:sz w:val="22"/>
          <w:szCs w:val="22"/>
        </w:rPr>
        <w:t xml:space="preserve">arget 1.3.  </w:t>
      </w:r>
      <w:r w:rsidR="005A36F2" w:rsidRPr="003A3C15">
        <w:rPr>
          <w:sz w:val="22"/>
          <w:szCs w:val="22"/>
        </w:rPr>
        <w:t xml:space="preserve">We urge EU Member States </w:t>
      </w:r>
      <w:r w:rsidR="00154C2B" w:rsidRPr="003A3C15">
        <w:rPr>
          <w:sz w:val="22"/>
          <w:szCs w:val="22"/>
        </w:rPr>
        <w:t>to reinforce the commitment to implement</w:t>
      </w:r>
      <w:r w:rsidR="000415E1" w:rsidRPr="003A3C15">
        <w:rPr>
          <w:sz w:val="22"/>
          <w:szCs w:val="22"/>
        </w:rPr>
        <w:t xml:space="preserve"> </w:t>
      </w:r>
      <w:r w:rsidR="005A36F2" w:rsidRPr="003A3C15">
        <w:rPr>
          <w:sz w:val="22"/>
          <w:szCs w:val="22"/>
        </w:rPr>
        <w:t xml:space="preserve">universal social protection floors </w:t>
      </w:r>
      <w:r w:rsidR="00AB7610" w:rsidRPr="003A3C15">
        <w:rPr>
          <w:sz w:val="22"/>
          <w:szCs w:val="22"/>
        </w:rPr>
        <w:t>in all countries</w:t>
      </w:r>
      <w:r w:rsidR="005A36F2" w:rsidRPr="003A3C15">
        <w:rPr>
          <w:sz w:val="22"/>
          <w:szCs w:val="22"/>
        </w:rPr>
        <w:t>.</w:t>
      </w:r>
      <w:r w:rsidR="00351A72" w:rsidRPr="003A3C15">
        <w:rPr>
          <w:b/>
          <w:sz w:val="22"/>
          <w:szCs w:val="22"/>
        </w:rPr>
        <w:t xml:space="preserve"> </w:t>
      </w:r>
    </w:p>
    <w:p w:rsidR="00154C2B" w:rsidRPr="003A3C15" w:rsidRDefault="00154C2B" w:rsidP="00AB7610">
      <w:pPr>
        <w:pStyle w:val="Default"/>
        <w:rPr>
          <w:sz w:val="22"/>
          <w:szCs w:val="22"/>
        </w:rPr>
      </w:pPr>
    </w:p>
    <w:p w:rsidR="00AB7610" w:rsidRPr="003A3C15" w:rsidRDefault="006D3CE6" w:rsidP="00AB7610">
      <w:pPr>
        <w:pStyle w:val="Default"/>
        <w:rPr>
          <w:sz w:val="22"/>
          <w:szCs w:val="22"/>
        </w:rPr>
      </w:pPr>
      <w:r w:rsidRPr="003A3C15">
        <w:rPr>
          <w:sz w:val="22"/>
          <w:szCs w:val="22"/>
        </w:rPr>
        <w:t xml:space="preserve">It is important that </w:t>
      </w:r>
      <w:r w:rsidR="00154C2B" w:rsidRPr="003A3C15">
        <w:rPr>
          <w:sz w:val="22"/>
          <w:szCs w:val="22"/>
        </w:rPr>
        <w:t xml:space="preserve">in discussions around targets and indicators for social protection, there is explicit reference to the widely-endorsed ILO Recommendation 202, which stands as the most appropriate normative framework for measuring the expansion of social protection. The </w:t>
      </w:r>
      <w:r w:rsidR="00154C2B" w:rsidRPr="003A3C15">
        <w:rPr>
          <w:i/>
          <w:sz w:val="22"/>
          <w:szCs w:val="22"/>
        </w:rPr>
        <w:t xml:space="preserve">adequacy </w:t>
      </w:r>
      <w:r w:rsidR="00154C2B" w:rsidRPr="003A3C15">
        <w:rPr>
          <w:sz w:val="22"/>
          <w:szCs w:val="22"/>
        </w:rPr>
        <w:t xml:space="preserve">of social protection programmes should also be recognised as key, although </w:t>
      </w:r>
      <w:r w:rsidR="00486667">
        <w:rPr>
          <w:sz w:val="22"/>
          <w:szCs w:val="22"/>
        </w:rPr>
        <w:t xml:space="preserve">further work </w:t>
      </w:r>
      <w:r w:rsidR="00884AE5">
        <w:rPr>
          <w:sz w:val="22"/>
          <w:szCs w:val="22"/>
        </w:rPr>
        <w:t>may be</w:t>
      </w:r>
      <w:r w:rsidR="00075020">
        <w:rPr>
          <w:sz w:val="22"/>
          <w:szCs w:val="22"/>
        </w:rPr>
        <w:t xml:space="preserve"> needed </w:t>
      </w:r>
      <w:r w:rsidR="00154C2B" w:rsidRPr="003A3C15">
        <w:rPr>
          <w:sz w:val="22"/>
          <w:szCs w:val="22"/>
        </w:rPr>
        <w:t xml:space="preserve">to </w:t>
      </w:r>
      <w:proofErr w:type="gramStart"/>
      <w:r w:rsidR="00154C2B" w:rsidRPr="003A3C15">
        <w:rPr>
          <w:sz w:val="22"/>
          <w:szCs w:val="22"/>
        </w:rPr>
        <w:t>agree</w:t>
      </w:r>
      <w:proofErr w:type="gramEnd"/>
      <w:r w:rsidR="00154C2B" w:rsidRPr="003A3C15">
        <w:rPr>
          <w:sz w:val="22"/>
          <w:szCs w:val="22"/>
        </w:rPr>
        <w:t xml:space="preserve"> on appropriate benchmarks and develop the evidence base for this.</w:t>
      </w:r>
      <w:r w:rsidR="00AB7610" w:rsidRPr="003A3C15">
        <w:rPr>
          <w:sz w:val="22"/>
          <w:szCs w:val="22"/>
        </w:rPr>
        <w:br/>
      </w:r>
    </w:p>
    <w:p w:rsidR="009D7A5A" w:rsidRPr="003A3C15" w:rsidRDefault="00AB7610" w:rsidP="00AB7610">
      <w:pPr>
        <w:pStyle w:val="Default"/>
        <w:rPr>
          <w:i/>
          <w:sz w:val="22"/>
          <w:szCs w:val="22"/>
        </w:rPr>
      </w:pPr>
      <w:r w:rsidRPr="003A3C15">
        <w:rPr>
          <w:b/>
          <w:color w:val="C00000"/>
          <w:sz w:val="22"/>
          <w:szCs w:val="22"/>
        </w:rPr>
        <w:t>Health</w:t>
      </w:r>
    </w:p>
    <w:p w:rsidR="00AB7610" w:rsidRPr="003A3C15" w:rsidRDefault="00004BB6" w:rsidP="00AB7610">
      <w:pPr>
        <w:pStyle w:val="Default"/>
        <w:rPr>
          <w:sz w:val="22"/>
          <w:szCs w:val="22"/>
        </w:rPr>
      </w:pPr>
      <w:r w:rsidRPr="003A3C15">
        <w:rPr>
          <w:sz w:val="22"/>
          <w:szCs w:val="22"/>
        </w:rPr>
        <w:t xml:space="preserve">We are pleased that the critical importance of Universal Health Coverage </w:t>
      </w:r>
      <w:r w:rsidR="008A09F2" w:rsidRPr="003A3C15">
        <w:rPr>
          <w:sz w:val="22"/>
          <w:szCs w:val="22"/>
        </w:rPr>
        <w:t xml:space="preserve">(UHC) </w:t>
      </w:r>
      <w:r w:rsidRPr="003A3C15">
        <w:rPr>
          <w:sz w:val="22"/>
          <w:szCs w:val="22"/>
        </w:rPr>
        <w:t xml:space="preserve">is recognised in </w:t>
      </w:r>
      <w:r w:rsidR="00B533E5" w:rsidRPr="003A3C15">
        <w:rPr>
          <w:sz w:val="22"/>
          <w:szCs w:val="22"/>
        </w:rPr>
        <w:t xml:space="preserve">relation to </w:t>
      </w:r>
      <w:r w:rsidRPr="003A3C15">
        <w:rPr>
          <w:sz w:val="22"/>
          <w:szCs w:val="22"/>
        </w:rPr>
        <w:t>the achievement of sustainable development.</w:t>
      </w:r>
      <w:r w:rsidR="00D84590" w:rsidRPr="003A3C15">
        <w:rPr>
          <w:sz w:val="22"/>
          <w:szCs w:val="22"/>
        </w:rPr>
        <w:t xml:space="preserve">  It is disappoi</w:t>
      </w:r>
      <w:r w:rsidR="00C6039F" w:rsidRPr="003A3C15">
        <w:rPr>
          <w:sz w:val="22"/>
          <w:szCs w:val="22"/>
        </w:rPr>
        <w:t xml:space="preserve">nting, however, that </w:t>
      </w:r>
      <w:r w:rsidR="00D84590" w:rsidRPr="003A3C15">
        <w:rPr>
          <w:sz w:val="22"/>
          <w:szCs w:val="22"/>
        </w:rPr>
        <w:t>non-</w:t>
      </w:r>
      <w:r w:rsidR="00D84590" w:rsidRPr="003A3C15">
        <w:rPr>
          <w:sz w:val="22"/>
          <w:szCs w:val="22"/>
        </w:rPr>
        <w:lastRenderedPageBreak/>
        <w:t xml:space="preserve">communicable diseases </w:t>
      </w:r>
      <w:r w:rsidR="008A09F2" w:rsidRPr="003A3C15">
        <w:rPr>
          <w:sz w:val="22"/>
          <w:szCs w:val="22"/>
        </w:rPr>
        <w:t xml:space="preserve">(NCDs) </w:t>
      </w:r>
      <w:r w:rsidR="00C6039F" w:rsidRPr="003A3C15">
        <w:rPr>
          <w:sz w:val="22"/>
          <w:szCs w:val="22"/>
        </w:rPr>
        <w:t xml:space="preserve">are </w:t>
      </w:r>
      <w:r w:rsidR="00D84590" w:rsidRPr="003A3C15">
        <w:rPr>
          <w:sz w:val="22"/>
          <w:szCs w:val="22"/>
        </w:rPr>
        <w:t>not mentioned</w:t>
      </w:r>
      <w:r w:rsidR="00B533E5" w:rsidRPr="003A3C15">
        <w:rPr>
          <w:sz w:val="22"/>
          <w:szCs w:val="22"/>
        </w:rPr>
        <w:t xml:space="preserve"> at all</w:t>
      </w:r>
      <w:r w:rsidR="00D84590" w:rsidRPr="003A3C15">
        <w:rPr>
          <w:sz w:val="22"/>
          <w:szCs w:val="22"/>
        </w:rPr>
        <w:t xml:space="preserve">, despite </w:t>
      </w:r>
      <w:r w:rsidR="00C6039F" w:rsidRPr="003A3C15">
        <w:rPr>
          <w:sz w:val="22"/>
          <w:szCs w:val="22"/>
        </w:rPr>
        <w:t xml:space="preserve">accounting for an increasing share of the global </w:t>
      </w:r>
      <w:r w:rsidR="00B533E5" w:rsidRPr="003A3C15">
        <w:rPr>
          <w:sz w:val="22"/>
          <w:szCs w:val="22"/>
        </w:rPr>
        <w:t xml:space="preserve">disease </w:t>
      </w:r>
      <w:r w:rsidR="00C6039F" w:rsidRPr="003A3C15">
        <w:rPr>
          <w:sz w:val="22"/>
          <w:szCs w:val="22"/>
        </w:rPr>
        <w:t xml:space="preserve">burden and disproportionately affecting older people.  </w:t>
      </w:r>
      <w:r w:rsidR="00D84590" w:rsidRPr="003A3C15">
        <w:rPr>
          <w:sz w:val="22"/>
          <w:szCs w:val="22"/>
        </w:rPr>
        <w:t xml:space="preserve"> </w:t>
      </w:r>
    </w:p>
    <w:p w:rsidR="00AB7610" w:rsidRPr="003A3C15" w:rsidRDefault="00AB7610" w:rsidP="00AB7610">
      <w:pPr>
        <w:pStyle w:val="Default"/>
        <w:rPr>
          <w:i/>
          <w:sz w:val="22"/>
          <w:szCs w:val="22"/>
        </w:rPr>
      </w:pPr>
    </w:p>
    <w:p w:rsidR="00AB7610" w:rsidRPr="003A3C15" w:rsidRDefault="000B7C94" w:rsidP="00AB7610">
      <w:pPr>
        <w:pStyle w:val="Default"/>
        <w:rPr>
          <w:sz w:val="22"/>
          <w:szCs w:val="22"/>
        </w:rPr>
      </w:pPr>
      <w:r w:rsidRPr="003A3C15">
        <w:rPr>
          <w:sz w:val="22"/>
          <w:szCs w:val="22"/>
        </w:rPr>
        <w:t xml:space="preserve">We encourage EU Member States to </w:t>
      </w:r>
      <w:r w:rsidR="001D3CD4" w:rsidRPr="003A3C15">
        <w:rPr>
          <w:sz w:val="22"/>
          <w:szCs w:val="22"/>
        </w:rPr>
        <w:t>continue to</w:t>
      </w:r>
      <w:r w:rsidRPr="003A3C15">
        <w:rPr>
          <w:sz w:val="22"/>
          <w:szCs w:val="22"/>
        </w:rPr>
        <w:t xml:space="preserve"> support the </w:t>
      </w:r>
      <w:r w:rsidR="001D3CD4" w:rsidRPr="003A3C15">
        <w:rPr>
          <w:sz w:val="22"/>
          <w:szCs w:val="22"/>
        </w:rPr>
        <w:t xml:space="preserve">life-course approach reflected in </w:t>
      </w:r>
      <w:r w:rsidRPr="003A3C15">
        <w:rPr>
          <w:sz w:val="22"/>
          <w:szCs w:val="22"/>
        </w:rPr>
        <w:t>OWG Outcome Document Goal 3</w:t>
      </w:r>
      <w:r w:rsidR="002D5BC4" w:rsidRPr="003A3C15">
        <w:rPr>
          <w:sz w:val="22"/>
          <w:szCs w:val="22"/>
        </w:rPr>
        <w:t xml:space="preserve"> </w:t>
      </w:r>
      <w:r w:rsidR="002D5BC4" w:rsidRPr="003A3C15">
        <w:rPr>
          <w:i/>
          <w:sz w:val="22"/>
          <w:szCs w:val="22"/>
        </w:rPr>
        <w:t>‘</w:t>
      </w:r>
      <w:r w:rsidRPr="003A3C15">
        <w:rPr>
          <w:i/>
          <w:sz w:val="22"/>
          <w:szCs w:val="22"/>
        </w:rPr>
        <w:t>Ensure healthy lives and promote well-being for all at all ages</w:t>
      </w:r>
      <w:r w:rsidR="002D5BC4" w:rsidRPr="003A3C15">
        <w:rPr>
          <w:i/>
          <w:sz w:val="22"/>
          <w:szCs w:val="22"/>
        </w:rPr>
        <w:t>’</w:t>
      </w:r>
      <w:r w:rsidRPr="003A3C15">
        <w:rPr>
          <w:sz w:val="22"/>
          <w:szCs w:val="22"/>
        </w:rPr>
        <w:t xml:space="preserve"> and to </w:t>
      </w:r>
      <w:r w:rsidR="00552ED2">
        <w:rPr>
          <w:sz w:val="22"/>
          <w:szCs w:val="22"/>
        </w:rPr>
        <w:t xml:space="preserve">ensure </w:t>
      </w:r>
      <w:r w:rsidRPr="003A3C15">
        <w:rPr>
          <w:sz w:val="22"/>
          <w:szCs w:val="22"/>
        </w:rPr>
        <w:t xml:space="preserve">dedicated targets on UHC and NCDs.  </w:t>
      </w:r>
      <w:r w:rsidR="002D5BC4" w:rsidRPr="003A3C15">
        <w:rPr>
          <w:sz w:val="22"/>
          <w:szCs w:val="22"/>
        </w:rPr>
        <w:t>W</w:t>
      </w:r>
      <w:r w:rsidRPr="003A3C15">
        <w:rPr>
          <w:sz w:val="22"/>
          <w:szCs w:val="22"/>
        </w:rPr>
        <w:t xml:space="preserve">e strongly urge Member States to use the term ‘avoidable mortality’ rather than the discriminatory language of ‘premature mortality.’ </w:t>
      </w:r>
    </w:p>
    <w:p w:rsidR="00E666D7" w:rsidRPr="003A3C15" w:rsidRDefault="00E666D7" w:rsidP="00AB7610">
      <w:pPr>
        <w:pStyle w:val="Default"/>
        <w:rPr>
          <w:sz w:val="22"/>
          <w:szCs w:val="22"/>
        </w:rPr>
      </w:pPr>
    </w:p>
    <w:p w:rsidR="00E666D7" w:rsidRPr="003A3C15" w:rsidRDefault="005B2A79" w:rsidP="00AB7610">
      <w:pPr>
        <w:pStyle w:val="Default"/>
        <w:rPr>
          <w:b/>
          <w:color w:val="C00000"/>
          <w:sz w:val="22"/>
          <w:szCs w:val="22"/>
        </w:rPr>
      </w:pPr>
      <w:r w:rsidRPr="003A3C15">
        <w:rPr>
          <w:b/>
          <w:color w:val="C00000"/>
          <w:sz w:val="22"/>
          <w:szCs w:val="22"/>
        </w:rPr>
        <w:t>Population dynamics and ageing</w:t>
      </w:r>
    </w:p>
    <w:p w:rsidR="000B7C94" w:rsidRPr="003A3C15" w:rsidRDefault="00223977" w:rsidP="00AB7610">
      <w:pPr>
        <w:pStyle w:val="Default"/>
        <w:rPr>
          <w:sz w:val="22"/>
          <w:szCs w:val="22"/>
        </w:rPr>
      </w:pPr>
      <w:r w:rsidRPr="003A3C15">
        <w:rPr>
          <w:sz w:val="22"/>
          <w:szCs w:val="22"/>
        </w:rPr>
        <w:t xml:space="preserve">The Council Conclusions highlight </w:t>
      </w:r>
      <w:r w:rsidR="002D5BC4" w:rsidRPr="003A3C15">
        <w:rPr>
          <w:sz w:val="22"/>
          <w:szCs w:val="22"/>
        </w:rPr>
        <w:t xml:space="preserve">some </w:t>
      </w:r>
      <w:r w:rsidRPr="003A3C15">
        <w:rPr>
          <w:sz w:val="22"/>
          <w:szCs w:val="22"/>
        </w:rPr>
        <w:t xml:space="preserve">cross-cutting issues, including migration and mobility. This narrow focus </w:t>
      </w:r>
      <w:r w:rsidR="00335D23" w:rsidRPr="003A3C15">
        <w:rPr>
          <w:sz w:val="22"/>
          <w:szCs w:val="22"/>
        </w:rPr>
        <w:t xml:space="preserve">only </w:t>
      </w:r>
      <w:r w:rsidRPr="003A3C15">
        <w:rPr>
          <w:sz w:val="22"/>
          <w:szCs w:val="22"/>
        </w:rPr>
        <w:t xml:space="preserve">on </w:t>
      </w:r>
      <w:r w:rsidR="002D5BC4" w:rsidRPr="003A3C15">
        <w:rPr>
          <w:sz w:val="22"/>
          <w:szCs w:val="22"/>
        </w:rPr>
        <w:t xml:space="preserve">certain </w:t>
      </w:r>
      <w:r w:rsidRPr="003A3C15">
        <w:rPr>
          <w:sz w:val="22"/>
          <w:szCs w:val="22"/>
        </w:rPr>
        <w:t xml:space="preserve">aspects of population dynamics is too limited in our view.  </w:t>
      </w:r>
      <w:r w:rsidR="002D5BC4" w:rsidRPr="003A3C15">
        <w:rPr>
          <w:sz w:val="22"/>
          <w:szCs w:val="22"/>
        </w:rPr>
        <w:t>The EC Communications</w:t>
      </w:r>
      <w:r w:rsidR="00CE72D1" w:rsidRPr="003A3C15">
        <w:rPr>
          <w:sz w:val="22"/>
          <w:szCs w:val="22"/>
        </w:rPr>
        <w:t xml:space="preserve"> on post-2015 </w:t>
      </w:r>
      <w:r w:rsidR="002D5BC4" w:rsidRPr="003A3C15">
        <w:rPr>
          <w:sz w:val="22"/>
          <w:szCs w:val="22"/>
        </w:rPr>
        <w:t xml:space="preserve">have </w:t>
      </w:r>
      <w:r w:rsidR="00D34888" w:rsidRPr="003A3C15">
        <w:rPr>
          <w:sz w:val="22"/>
          <w:szCs w:val="22"/>
        </w:rPr>
        <w:t xml:space="preserve">helpfully </w:t>
      </w:r>
      <w:r w:rsidR="000642DB">
        <w:rPr>
          <w:sz w:val="22"/>
          <w:szCs w:val="22"/>
        </w:rPr>
        <w:t xml:space="preserve">emphasised </w:t>
      </w:r>
      <w:r w:rsidR="00CE72D1" w:rsidRPr="003A3C15">
        <w:rPr>
          <w:sz w:val="22"/>
          <w:szCs w:val="22"/>
        </w:rPr>
        <w:t>the significant implications of population ageing</w:t>
      </w:r>
      <w:r w:rsidR="002D5BC4" w:rsidRPr="003A3C15">
        <w:rPr>
          <w:sz w:val="22"/>
          <w:szCs w:val="22"/>
        </w:rPr>
        <w:t>,</w:t>
      </w:r>
      <w:r w:rsidR="00CE72D1" w:rsidRPr="003A3C15">
        <w:rPr>
          <w:sz w:val="22"/>
          <w:szCs w:val="22"/>
        </w:rPr>
        <w:t xml:space="preserve"> particularly on developing countries in years to come</w:t>
      </w:r>
      <w:r w:rsidR="002D5BC4" w:rsidRPr="003A3C15">
        <w:rPr>
          <w:rStyle w:val="FootnoteReference"/>
          <w:sz w:val="22"/>
          <w:szCs w:val="22"/>
        </w:rPr>
        <w:footnoteReference w:id="4"/>
      </w:r>
      <w:r w:rsidR="00CE72D1" w:rsidRPr="003A3C15">
        <w:rPr>
          <w:sz w:val="22"/>
          <w:szCs w:val="22"/>
        </w:rPr>
        <w:t xml:space="preserve"> and the need </w:t>
      </w:r>
      <w:r w:rsidR="00343496">
        <w:rPr>
          <w:sz w:val="22"/>
          <w:szCs w:val="22"/>
        </w:rPr>
        <w:t>to ensure</w:t>
      </w:r>
      <w:r w:rsidR="00CE72D1" w:rsidRPr="003A3C15">
        <w:rPr>
          <w:sz w:val="22"/>
          <w:szCs w:val="22"/>
        </w:rPr>
        <w:t xml:space="preserve"> that population dynamics are mainstreamed across all aspects of the framework</w:t>
      </w:r>
      <w:r w:rsidR="009B6A6B" w:rsidRPr="003A3C15">
        <w:rPr>
          <w:rStyle w:val="FootnoteReference"/>
          <w:sz w:val="22"/>
          <w:szCs w:val="22"/>
        </w:rPr>
        <w:footnoteReference w:id="5"/>
      </w:r>
      <w:r w:rsidR="00CE72D1" w:rsidRPr="003A3C15">
        <w:rPr>
          <w:sz w:val="22"/>
          <w:szCs w:val="22"/>
        </w:rPr>
        <w:t>.</w:t>
      </w:r>
      <w:r w:rsidRPr="003A3C15">
        <w:rPr>
          <w:sz w:val="22"/>
          <w:szCs w:val="22"/>
        </w:rPr>
        <w:t xml:space="preserve"> </w:t>
      </w:r>
      <w:r w:rsidR="00D34888" w:rsidRPr="003A3C15">
        <w:rPr>
          <w:sz w:val="22"/>
          <w:szCs w:val="22"/>
        </w:rPr>
        <w:t xml:space="preserve">It is a concern </w:t>
      </w:r>
      <w:r w:rsidR="00795D09">
        <w:rPr>
          <w:sz w:val="22"/>
          <w:szCs w:val="22"/>
        </w:rPr>
        <w:t xml:space="preserve">therefore </w:t>
      </w:r>
      <w:r w:rsidR="00D34888" w:rsidRPr="003A3C15">
        <w:rPr>
          <w:sz w:val="22"/>
          <w:szCs w:val="22"/>
        </w:rPr>
        <w:t xml:space="preserve">that </w:t>
      </w:r>
      <w:r w:rsidR="009B6A6B" w:rsidRPr="003A3C15">
        <w:rPr>
          <w:sz w:val="22"/>
          <w:szCs w:val="22"/>
        </w:rPr>
        <w:t xml:space="preserve">population dynamics and ageing </w:t>
      </w:r>
      <w:r w:rsidR="00D34888" w:rsidRPr="003A3C15">
        <w:rPr>
          <w:sz w:val="22"/>
          <w:szCs w:val="22"/>
        </w:rPr>
        <w:t>were omitted in the recent Conclusions.</w:t>
      </w:r>
    </w:p>
    <w:p w:rsidR="00CE72D1" w:rsidRPr="003A3C15" w:rsidRDefault="00CE72D1" w:rsidP="00AB7610">
      <w:pPr>
        <w:pStyle w:val="Default"/>
        <w:rPr>
          <w:sz w:val="22"/>
          <w:szCs w:val="22"/>
        </w:rPr>
      </w:pPr>
    </w:p>
    <w:p w:rsidR="00C1367B" w:rsidRPr="003A3C15" w:rsidRDefault="00D72AD0" w:rsidP="00AB7610">
      <w:pPr>
        <w:pStyle w:val="Default"/>
        <w:rPr>
          <w:sz w:val="22"/>
          <w:szCs w:val="22"/>
        </w:rPr>
      </w:pPr>
      <w:r w:rsidRPr="003A3C15">
        <w:rPr>
          <w:sz w:val="22"/>
          <w:szCs w:val="22"/>
        </w:rPr>
        <w:t xml:space="preserve">Population ageing is a triumph of development efforts and </w:t>
      </w:r>
      <w:r w:rsidR="00E578B8" w:rsidRPr="003A3C15">
        <w:rPr>
          <w:sz w:val="22"/>
          <w:szCs w:val="22"/>
        </w:rPr>
        <w:t xml:space="preserve">a core </w:t>
      </w:r>
      <w:r w:rsidR="00E30934" w:rsidRPr="003A3C15">
        <w:rPr>
          <w:sz w:val="22"/>
          <w:szCs w:val="22"/>
        </w:rPr>
        <w:t xml:space="preserve">component </w:t>
      </w:r>
      <w:r w:rsidR="00E578B8" w:rsidRPr="003A3C15">
        <w:rPr>
          <w:sz w:val="22"/>
          <w:szCs w:val="22"/>
        </w:rPr>
        <w:t>of demographic transition</w:t>
      </w:r>
      <w:r w:rsidRPr="003A3C15">
        <w:rPr>
          <w:sz w:val="22"/>
          <w:szCs w:val="22"/>
        </w:rPr>
        <w:t>, which is transforming societies and economies around the world.</w:t>
      </w:r>
      <w:r w:rsidR="009D4D20" w:rsidRPr="003A3C15">
        <w:rPr>
          <w:sz w:val="22"/>
          <w:szCs w:val="22"/>
        </w:rPr>
        <w:t xml:space="preserve"> EU Member States </w:t>
      </w:r>
      <w:r w:rsidR="009B6A6B" w:rsidRPr="003A3C15">
        <w:rPr>
          <w:sz w:val="22"/>
          <w:szCs w:val="22"/>
        </w:rPr>
        <w:t xml:space="preserve">should </w:t>
      </w:r>
      <w:r w:rsidR="009D4D20" w:rsidRPr="003A3C15">
        <w:rPr>
          <w:sz w:val="22"/>
          <w:szCs w:val="22"/>
        </w:rPr>
        <w:t xml:space="preserve">not </w:t>
      </w:r>
      <w:r w:rsidR="00E50B4A" w:rsidRPr="003A3C15">
        <w:rPr>
          <w:sz w:val="22"/>
          <w:szCs w:val="22"/>
        </w:rPr>
        <w:t xml:space="preserve">treat </w:t>
      </w:r>
      <w:r w:rsidR="009D4D20" w:rsidRPr="003A3C15">
        <w:rPr>
          <w:sz w:val="22"/>
          <w:szCs w:val="22"/>
        </w:rPr>
        <w:t>this global megatrend</w:t>
      </w:r>
      <w:r w:rsidR="00E50B4A" w:rsidRPr="003A3C15">
        <w:rPr>
          <w:sz w:val="22"/>
          <w:szCs w:val="22"/>
        </w:rPr>
        <w:t xml:space="preserve"> with complacency and </w:t>
      </w:r>
      <w:r w:rsidR="009D4D20" w:rsidRPr="003A3C15">
        <w:rPr>
          <w:sz w:val="22"/>
          <w:szCs w:val="22"/>
        </w:rPr>
        <w:t xml:space="preserve">must </w:t>
      </w:r>
      <w:r w:rsidR="005C5681">
        <w:rPr>
          <w:sz w:val="22"/>
          <w:szCs w:val="22"/>
        </w:rPr>
        <w:t xml:space="preserve">work to ensure that </w:t>
      </w:r>
      <w:r w:rsidR="005C5681" w:rsidRPr="003A3C15">
        <w:rPr>
          <w:sz w:val="22"/>
          <w:szCs w:val="22"/>
        </w:rPr>
        <w:t xml:space="preserve">its implications </w:t>
      </w:r>
      <w:r w:rsidR="005C5681">
        <w:rPr>
          <w:sz w:val="22"/>
          <w:szCs w:val="22"/>
        </w:rPr>
        <w:t xml:space="preserve">are </w:t>
      </w:r>
      <w:r w:rsidR="00BD5E8B" w:rsidRPr="003A3C15">
        <w:rPr>
          <w:sz w:val="22"/>
          <w:szCs w:val="22"/>
        </w:rPr>
        <w:t xml:space="preserve">fully </w:t>
      </w:r>
      <w:r w:rsidR="00D34888" w:rsidRPr="003A3C15">
        <w:rPr>
          <w:sz w:val="22"/>
          <w:szCs w:val="22"/>
        </w:rPr>
        <w:t>address</w:t>
      </w:r>
      <w:r w:rsidR="005C5681">
        <w:rPr>
          <w:sz w:val="22"/>
          <w:szCs w:val="22"/>
        </w:rPr>
        <w:t>ed</w:t>
      </w:r>
      <w:r w:rsidR="00D34888" w:rsidRPr="003A3C15">
        <w:rPr>
          <w:sz w:val="22"/>
          <w:szCs w:val="22"/>
        </w:rPr>
        <w:t xml:space="preserve"> across all aspects of the </w:t>
      </w:r>
      <w:r w:rsidR="005C5681">
        <w:rPr>
          <w:sz w:val="22"/>
          <w:szCs w:val="22"/>
        </w:rPr>
        <w:t xml:space="preserve">future </w:t>
      </w:r>
      <w:r w:rsidR="00D34888" w:rsidRPr="003A3C15">
        <w:rPr>
          <w:sz w:val="22"/>
          <w:szCs w:val="22"/>
        </w:rPr>
        <w:t>framework.</w:t>
      </w:r>
    </w:p>
    <w:p w:rsidR="00C1367B" w:rsidRPr="003A3C15" w:rsidRDefault="00C1367B" w:rsidP="00AB7610">
      <w:pPr>
        <w:pStyle w:val="Default"/>
        <w:rPr>
          <w:i/>
          <w:sz w:val="22"/>
          <w:szCs w:val="22"/>
        </w:rPr>
      </w:pPr>
    </w:p>
    <w:p w:rsidR="00C1367B" w:rsidRPr="003A3C15" w:rsidRDefault="00C1367B" w:rsidP="00AB7610">
      <w:pPr>
        <w:pStyle w:val="Default"/>
        <w:rPr>
          <w:i/>
          <w:sz w:val="22"/>
          <w:szCs w:val="22"/>
        </w:rPr>
      </w:pPr>
      <w:r w:rsidRPr="003A3C15">
        <w:rPr>
          <w:b/>
          <w:color w:val="C00000"/>
          <w:sz w:val="22"/>
          <w:szCs w:val="22"/>
        </w:rPr>
        <w:t>Gender Equality and Women’s Empowerment</w:t>
      </w:r>
    </w:p>
    <w:p w:rsidR="0058456D" w:rsidRPr="003A3C15" w:rsidRDefault="00425C1D" w:rsidP="00D56D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We are pleased to see the strong</w:t>
      </w:r>
      <w:r w:rsidR="0007387B" w:rsidRPr="003A3C15">
        <w:rPr>
          <w:sz w:val="22"/>
          <w:szCs w:val="22"/>
        </w:rPr>
        <w:t xml:space="preserve"> emphasis on </w:t>
      </w:r>
      <w:r w:rsidR="00CB4E96" w:rsidRPr="003A3C15">
        <w:rPr>
          <w:sz w:val="22"/>
          <w:szCs w:val="22"/>
        </w:rPr>
        <w:t>gender equality and women’s empowerment a</w:t>
      </w:r>
      <w:r w:rsidR="009B6A6B" w:rsidRPr="003A3C15">
        <w:rPr>
          <w:sz w:val="22"/>
          <w:szCs w:val="22"/>
        </w:rPr>
        <w:t>n</w:t>
      </w:r>
      <w:r w:rsidR="00CB4E96" w:rsidRPr="003A3C15">
        <w:rPr>
          <w:sz w:val="22"/>
          <w:szCs w:val="22"/>
        </w:rPr>
        <w:t xml:space="preserve">d ending discrimination in all its forms and violence against women and girls.  </w:t>
      </w:r>
      <w:r w:rsidR="006C7358">
        <w:rPr>
          <w:sz w:val="22"/>
          <w:szCs w:val="22"/>
        </w:rPr>
        <w:t xml:space="preserve">However, the fact that the Conclusions did not </w:t>
      </w:r>
      <w:r w:rsidR="00390975">
        <w:rPr>
          <w:sz w:val="22"/>
          <w:szCs w:val="22"/>
        </w:rPr>
        <w:t xml:space="preserve">reinforce </w:t>
      </w:r>
      <w:r w:rsidR="006C7358">
        <w:rPr>
          <w:sz w:val="22"/>
          <w:szCs w:val="22"/>
        </w:rPr>
        <w:t>the more age-inclusive language of the Beijing Platform for Action and the OWG Outcome Document</w:t>
      </w:r>
      <w:r w:rsidR="00390975">
        <w:rPr>
          <w:sz w:val="22"/>
          <w:szCs w:val="22"/>
        </w:rPr>
        <w:t xml:space="preserve"> is a missed opportunity</w:t>
      </w:r>
      <w:r w:rsidR="006C7358">
        <w:rPr>
          <w:sz w:val="22"/>
          <w:szCs w:val="22"/>
        </w:rPr>
        <w:t xml:space="preserve">.  </w:t>
      </w:r>
      <w:r w:rsidR="00D56DEF" w:rsidRPr="003A3C15">
        <w:rPr>
          <w:sz w:val="22"/>
          <w:szCs w:val="22"/>
        </w:rPr>
        <w:t xml:space="preserve">The Beijing Platform for Action underlines that commitments and action to further gender equality and the rights of women and girls must address </w:t>
      </w:r>
      <w:r w:rsidR="000320D9" w:rsidRPr="003A3C15">
        <w:rPr>
          <w:sz w:val="22"/>
          <w:szCs w:val="22"/>
        </w:rPr>
        <w:t>women’s entire life-course and t</w:t>
      </w:r>
      <w:r w:rsidR="00D56DEF" w:rsidRPr="003A3C15">
        <w:rPr>
          <w:sz w:val="22"/>
          <w:szCs w:val="22"/>
        </w:rPr>
        <w:t xml:space="preserve">he language of </w:t>
      </w:r>
      <w:r w:rsidR="00D56DEF" w:rsidRPr="003A3C15">
        <w:rPr>
          <w:i/>
          <w:sz w:val="22"/>
          <w:szCs w:val="22"/>
        </w:rPr>
        <w:t>‘girls and women of all ages’</w:t>
      </w:r>
      <w:r w:rsidR="00D56DEF" w:rsidRPr="003A3C15">
        <w:rPr>
          <w:sz w:val="22"/>
          <w:szCs w:val="22"/>
        </w:rPr>
        <w:t xml:space="preserve"> is </w:t>
      </w:r>
      <w:r w:rsidR="00FE3968">
        <w:rPr>
          <w:sz w:val="22"/>
          <w:szCs w:val="22"/>
        </w:rPr>
        <w:t xml:space="preserve">used </w:t>
      </w:r>
      <w:r w:rsidR="00D56DEF" w:rsidRPr="003A3C15">
        <w:rPr>
          <w:sz w:val="22"/>
          <w:szCs w:val="22"/>
        </w:rPr>
        <w:t>throughout its text.</w:t>
      </w:r>
      <w:r w:rsidR="006C7358">
        <w:rPr>
          <w:sz w:val="22"/>
          <w:szCs w:val="22"/>
        </w:rPr>
        <w:t xml:space="preserve"> </w:t>
      </w:r>
      <w:r w:rsidR="006C7358" w:rsidRPr="003A3C15">
        <w:rPr>
          <w:sz w:val="22"/>
          <w:szCs w:val="22"/>
        </w:rPr>
        <w:t xml:space="preserve">The OWG Outcome Document Goal 5 underlines the importance of achieving gender equality and empowering </w:t>
      </w:r>
      <w:r w:rsidR="00C908B1">
        <w:rPr>
          <w:sz w:val="22"/>
          <w:szCs w:val="22"/>
        </w:rPr>
        <w:t>‘</w:t>
      </w:r>
      <w:r w:rsidR="006C7358" w:rsidRPr="00C908B1">
        <w:rPr>
          <w:i/>
          <w:sz w:val="22"/>
          <w:szCs w:val="22"/>
        </w:rPr>
        <w:t>all women and girls</w:t>
      </w:r>
      <w:r w:rsidR="00C908B1" w:rsidRPr="00C908B1">
        <w:rPr>
          <w:i/>
          <w:sz w:val="22"/>
          <w:szCs w:val="22"/>
        </w:rPr>
        <w:t>’</w:t>
      </w:r>
      <w:r w:rsidR="006C7358" w:rsidRPr="003A3C15">
        <w:rPr>
          <w:sz w:val="22"/>
          <w:szCs w:val="22"/>
        </w:rPr>
        <w:t>.</w:t>
      </w:r>
    </w:p>
    <w:p w:rsidR="005B2A79" w:rsidRPr="003A3C15" w:rsidRDefault="00CB4E96" w:rsidP="00AB7610">
      <w:pPr>
        <w:pStyle w:val="Default"/>
        <w:rPr>
          <w:i/>
          <w:sz w:val="22"/>
          <w:szCs w:val="22"/>
        </w:rPr>
      </w:pPr>
      <w:r w:rsidRPr="003A3C15">
        <w:rPr>
          <w:i/>
          <w:sz w:val="22"/>
          <w:szCs w:val="22"/>
        </w:rPr>
        <w:t xml:space="preserve"> </w:t>
      </w:r>
      <w:bookmarkStart w:id="0" w:name="_GoBack"/>
      <w:bookmarkEnd w:id="0"/>
    </w:p>
    <w:p w:rsidR="003A3C15" w:rsidRDefault="00D56DEF" w:rsidP="00AB7610">
      <w:pPr>
        <w:pStyle w:val="Default"/>
        <w:rPr>
          <w:sz w:val="22"/>
          <w:szCs w:val="22"/>
        </w:rPr>
      </w:pPr>
      <w:r w:rsidRPr="003A3C15">
        <w:rPr>
          <w:sz w:val="22"/>
          <w:szCs w:val="22"/>
        </w:rPr>
        <w:t xml:space="preserve">As populations age dramatically around the world and women live longer lives than ever before, it is crucial that </w:t>
      </w:r>
      <w:r w:rsidR="00FE3968">
        <w:rPr>
          <w:sz w:val="22"/>
          <w:szCs w:val="22"/>
        </w:rPr>
        <w:t xml:space="preserve">Member States </w:t>
      </w:r>
      <w:r w:rsidRPr="003A3C15">
        <w:rPr>
          <w:sz w:val="22"/>
          <w:szCs w:val="22"/>
        </w:rPr>
        <w:t xml:space="preserve">do not fall short of the commitments already made in the Beijing Platform for Action.  We strongly urge EU Member States to </w:t>
      </w:r>
      <w:r w:rsidR="00AA1756" w:rsidRPr="003A3C15">
        <w:rPr>
          <w:sz w:val="22"/>
          <w:szCs w:val="22"/>
        </w:rPr>
        <w:t xml:space="preserve">consistently </w:t>
      </w:r>
      <w:r w:rsidRPr="003A3C15">
        <w:rPr>
          <w:sz w:val="22"/>
          <w:szCs w:val="22"/>
        </w:rPr>
        <w:t xml:space="preserve">adopt the language of </w:t>
      </w:r>
      <w:r w:rsidRPr="000614A6">
        <w:rPr>
          <w:i/>
          <w:sz w:val="22"/>
          <w:szCs w:val="22"/>
        </w:rPr>
        <w:t>‘girls and women of all ages’</w:t>
      </w:r>
      <w:r w:rsidRPr="003A3C15">
        <w:rPr>
          <w:sz w:val="22"/>
          <w:szCs w:val="22"/>
        </w:rPr>
        <w:t xml:space="preserve"> in the forthcoming negotiations. </w:t>
      </w:r>
    </w:p>
    <w:p w:rsidR="009636DD" w:rsidRDefault="003A3C15" w:rsidP="00485EAF">
      <w:pPr>
        <w:pStyle w:val="Default"/>
        <w:rPr>
          <w:b/>
        </w:rPr>
      </w:pPr>
      <w:r>
        <w:rPr>
          <w:sz w:val="22"/>
          <w:szCs w:val="22"/>
        </w:rPr>
        <w:br/>
      </w:r>
      <w:r w:rsidR="008C5626" w:rsidRPr="003A3C15">
        <w:rPr>
          <w:b/>
        </w:rPr>
        <w:t xml:space="preserve">We </w:t>
      </w:r>
      <w:r w:rsidR="00874030" w:rsidRPr="003A3C15">
        <w:rPr>
          <w:b/>
        </w:rPr>
        <w:t xml:space="preserve">wish </w:t>
      </w:r>
      <w:r w:rsidR="009D7A5A" w:rsidRPr="003A3C15">
        <w:rPr>
          <w:b/>
        </w:rPr>
        <w:t xml:space="preserve">EU Member States </w:t>
      </w:r>
      <w:r w:rsidR="00874030" w:rsidRPr="003A3C15">
        <w:rPr>
          <w:b/>
        </w:rPr>
        <w:t>fruitful negotiations through 2015 and look forward to a continued dialogue on these issues.</w:t>
      </w:r>
    </w:p>
    <w:p w:rsidR="0081346A" w:rsidRDefault="0081346A" w:rsidP="0081346A">
      <w:pPr>
        <w:pBdr>
          <w:bottom w:val="single" w:sz="4" w:space="1" w:color="auto"/>
        </w:pBdr>
        <w:rPr>
          <w:b/>
        </w:rPr>
      </w:pPr>
    </w:p>
    <w:p w:rsidR="0081346A" w:rsidRDefault="0081346A" w:rsidP="0081346A">
      <w:pPr>
        <w:pBdr>
          <w:bottom w:val="single" w:sz="4" w:space="1" w:color="auto"/>
        </w:pBdr>
        <w:rPr>
          <w:b/>
        </w:rPr>
      </w:pPr>
    </w:p>
    <w:p w:rsidR="0081346A" w:rsidRPr="0081346A" w:rsidRDefault="0081346A" w:rsidP="0081346A">
      <w:pPr>
        <w:tabs>
          <w:tab w:val="left" w:pos="3570"/>
        </w:tabs>
        <w:jc w:val="center"/>
      </w:pPr>
      <w:r>
        <w:t xml:space="preserve">Contact: HelpAge EU Policy Adviser, Ellen Graham, </w:t>
      </w:r>
      <w:hyperlink r:id="rId9" w:history="1">
        <w:r w:rsidRPr="007C1491">
          <w:rPr>
            <w:rStyle w:val="Hyperlink"/>
          </w:rPr>
          <w:t>egraham@helpage.org</w:t>
        </w:r>
      </w:hyperlink>
    </w:p>
    <w:sectPr w:rsidR="0081346A" w:rsidRPr="0081346A" w:rsidSect="003A3C15">
      <w:headerReference w:type="default" r:id="rId10"/>
      <w:footerReference w:type="default" r:id="rId11"/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61" w:rsidRDefault="009F1961" w:rsidP="005F7DC8">
      <w:pPr>
        <w:spacing w:after="0" w:line="240" w:lineRule="auto"/>
      </w:pPr>
      <w:r>
        <w:separator/>
      </w:r>
    </w:p>
  </w:endnote>
  <w:endnote w:type="continuationSeparator" w:id="0">
    <w:p w:rsidR="009F1961" w:rsidRDefault="009F1961" w:rsidP="005F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62" w:rsidRDefault="00525A62" w:rsidP="00056427">
    <w:pPr>
      <w:tabs>
        <w:tab w:val="left" w:pos="5085"/>
      </w:tabs>
      <w:rPr>
        <w:rFonts w:ascii="Verdana" w:hAnsi="Verdana"/>
        <w:sz w:val="20"/>
        <w:szCs w:val="20"/>
      </w:rPr>
    </w:pPr>
  </w:p>
  <w:p w:rsidR="00600BE8" w:rsidRPr="00525A62" w:rsidRDefault="00056427" w:rsidP="00525A62">
    <w:pPr>
      <w:tabs>
        <w:tab w:val="left" w:pos="5085"/>
      </w:tabs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en-GB"/>
      </w:rPr>
      <w:drawing>
        <wp:inline distT="0" distB="0" distL="0" distR="0" wp14:anchorId="77FD9CB0" wp14:editId="57710060">
          <wp:extent cx="790575" cy="5233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_yellow_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848" cy="523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 w:rsidR="00525A62"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noProof/>
        <w:sz w:val="20"/>
        <w:szCs w:val="20"/>
        <w:lang w:eastAsia="en-GB"/>
      </w:rPr>
      <w:drawing>
        <wp:inline distT="0" distB="0" distL="0" distR="0" wp14:anchorId="2528470E" wp14:editId="153AB84F">
          <wp:extent cx="895350" cy="50145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I-network-logo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908" cy="503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5A62">
      <w:rPr>
        <w:rFonts w:ascii="Verdana" w:hAnsi="Verdana"/>
        <w:sz w:val="20"/>
        <w:szCs w:val="20"/>
      </w:rPr>
      <w:br/>
    </w:r>
    <w:r w:rsidRPr="008D4CEC">
      <w:rPr>
        <w:sz w:val="20"/>
        <w:szCs w:val="20"/>
      </w:rPr>
      <w:t>The HelpAge EU network receives support from The European Union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61" w:rsidRDefault="009F1961" w:rsidP="005F7DC8">
      <w:pPr>
        <w:spacing w:after="0" w:line="240" w:lineRule="auto"/>
      </w:pPr>
      <w:r>
        <w:separator/>
      </w:r>
    </w:p>
  </w:footnote>
  <w:footnote w:type="continuationSeparator" w:id="0">
    <w:p w:rsidR="009F1961" w:rsidRDefault="009F1961" w:rsidP="005F7DC8">
      <w:pPr>
        <w:spacing w:after="0" w:line="240" w:lineRule="auto"/>
      </w:pPr>
      <w:r>
        <w:continuationSeparator/>
      </w:r>
    </w:p>
  </w:footnote>
  <w:footnote w:id="1">
    <w:p w:rsidR="00AE1A52" w:rsidRDefault="00AE1A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FF369C">
          <w:rPr>
            <w:rStyle w:val="Hyperlink"/>
          </w:rPr>
          <w:t>http://www.consilium.europa.eu/uedocs/cms_data/docs/pressdata/EN/foraff/146311.pdf</w:t>
        </w:r>
      </w:hyperlink>
      <w:r>
        <w:t xml:space="preserve"> </w:t>
      </w:r>
    </w:p>
  </w:footnote>
  <w:footnote w:id="2">
    <w:p w:rsidR="008D2B30" w:rsidRDefault="008D2B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FF369C">
          <w:rPr>
            <w:rStyle w:val="Hyperlink"/>
          </w:rPr>
          <w:t>https://sustainabledevelopment.un.org/focussdgs.html</w:t>
        </w:r>
      </w:hyperlink>
    </w:p>
  </w:footnote>
  <w:footnote w:id="3">
    <w:p w:rsidR="008D2B30" w:rsidRDefault="008D2B30" w:rsidP="008D2B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FF369C">
          <w:rPr>
            <w:rStyle w:val="Hyperlink"/>
          </w:rPr>
          <w:t>http://www.ilo.org/dyn/normlex/en/f?p=NORMLEXPUB:12100:0::NO::P12100_ILO_CODE:R202</w:t>
        </w:r>
      </w:hyperlink>
      <w:r>
        <w:t xml:space="preserve"> </w:t>
      </w:r>
    </w:p>
  </w:footnote>
  <w:footnote w:id="4">
    <w:p w:rsidR="002D5BC4" w:rsidRDefault="002D5B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="009B6A6B" w:rsidRPr="00FF369C">
          <w:rPr>
            <w:rStyle w:val="Hyperlink"/>
          </w:rPr>
          <w:t>http://ec.europa.eu/europeaid/documents/2013-02-22_communication_a_decent_life_for_all_post_2015_en.pdf</w:t>
        </w:r>
      </w:hyperlink>
      <w:r w:rsidR="009B6A6B">
        <w:t xml:space="preserve"> </w:t>
      </w:r>
    </w:p>
  </w:footnote>
  <w:footnote w:id="5">
    <w:p w:rsidR="009B6A6B" w:rsidRDefault="009B6A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FF369C">
          <w:rPr>
            <w:rStyle w:val="Hyperlink"/>
          </w:rPr>
          <w:t>http://ec.europa.eu/europeaid/sites/devco/files/part1-a-decent-life-for-all.pdf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52" w:rsidRDefault="008A7FE4" w:rsidP="008A7FE4">
    <w:pPr>
      <w:pStyle w:val="Header"/>
    </w:pPr>
    <w:r>
      <w:t>January 2015</w:t>
    </w:r>
    <w:r w:rsidR="0081346A">
      <w:tab/>
    </w:r>
    <w:r w:rsidR="0081346A">
      <w:tab/>
    </w:r>
    <w:r w:rsidR="00684B52">
      <w:tab/>
    </w:r>
    <w:r w:rsidR="00684B52">
      <w:tab/>
    </w:r>
    <w:r w:rsidR="00684B52">
      <w:tab/>
    </w:r>
    <w:r w:rsidR="00684B5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60686"/>
    <w:multiLevelType w:val="hybridMultilevel"/>
    <w:tmpl w:val="6B3A2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71616"/>
    <w:multiLevelType w:val="hybridMultilevel"/>
    <w:tmpl w:val="E2ECF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F5FE3"/>
    <w:multiLevelType w:val="hybridMultilevel"/>
    <w:tmpl w:val="5D12C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FF"/>
    <w:rsid w:val="00004BB6"/>
    <w:rsid w:val="00024419"/>
    <w:rsid w:val="000320D9"/>
    <w:rsid w:val="0004002E"/>
    <w:rsid w:val="000415E1"/>
    <w:rsid w:val="00056427"/>
    <w:rsid w:val="000614A6"/>
    <w:rsid w:val="000619E7"/>
    <w:rsid w:val="000642DB"/>
    <w:rsid w:val="0007387B"/>
    <w:rsid w:val="000747A0"/>
    <w:rsid w:val="00075020"/>
    <w:rsid w:val="00075117"/>
    <w:rsid w:val="00080C77"/>
    <w:rsid w:val="000A26F3"/>
    <w:rsid w:val="000B7C94"/>
    <w:rsid w:val="000C6BD4"/>
    <w:rsid w:val="000E7CAB"/>
    <w:rsid w:val="000F2E4B"/>
    <w:rsid w:val="000F503C"/>
    <w:rsid w:val="000F6AA7"/>
    <w:rsid w:val="00101A3D"/>
    <w:rsid w:val="00126004"/>
    <w:rsid w:val="0014449F"/>
    <w:rsid w:val="00145B04"/>
    <w:rsid w:val="00153838"/>
    <w:rsid w:val="00154C2B"/>
    <w:rsid w:val="00164F72"/>
    <w:rsid w:val="001A3E85"/>
    <w:rsid w:val="001C358C"/>
    <w:rsid w:val="001D3067"/>
    <w:rsid w:val="001D3CD4"/>
    <w:rsid w:val="00202641"/>
    <w:rsid w:val="00210DE7"/>
    <w:rsid w:val="00223977"/>
    <w:rsid w:val="00256F7B"/>
    <w:rsid w:val="00262BA0"/>
    <w:rsid w:val="0026424D"/>
    <w:rsid w:val="002662F9"/>
    <w:rsid w:val="00277AE8"/>
    <w:rsid w:val="00295819"/>
    <w:rsid w:val="002B4702"/>
    <w:rsid w:val="002D5BC4"/>
    <w:rsid w:val="002E23EF"/>
    <w:rsid w:val="002E3CFE"/>
    <w:rsid w:val="002F3089"/>
    <w:rsid w:val="002F541A"/>
    <w:rsid w:val="00312BED"/>
    <w:rsid w:val="00316B1E"/>
    <w:rsid w:val="00317349"/>
    <w:rsid w:val="00335D23"/>
    <w:rsid w:val="00343496"/>
    <w:rsid w:val="003456D7"/>
    <w:rsid w:val="00351A72"/>
    <w:rsid w:val="00390975"/>
    <w:rsid w:val="003A3C15"/>
    <w:rsid w:val="003F4110"/>
    <w:rsid w:val="003F6F71"/>
    <w:rsid w:val="00422107"/>
    <w:rsid w:val="00425C1D"/>
    <w:rsid w:val="00431A9E"/>
    <w:rsid w:val="004650FF"/>
    <w:rsid w:val="00467719"/>
    <w:rsid w:val="00473D1C"/>
    <w:rsid w:val="00480061"/>
    <w:rsid w:val="00485EAF"/>
    <w:rsid w:val="00486667"/>
    <w:rsid w:val="00491CFF"/>
    <w:rsid w:val="00493827"/>
    <w:rsid w:val="004F6D42"/>
    <w:rsid w:val="0050569E"/>
    <w:rsid w:val="005218D9"/>
    <w:rsid w:val="00525A62"/>
    <w:rsid w:val="005471A4"/>
    <w:rsid w:val="00552ED2"/>
    <w:rsid w:val="00581CCF"/>
    <w:rsid w:val="0058456D"/>
    <w:rsid w:val="00596291"/>
    <w:rsid w:val="00596E95"/>
    <w:rsid w:val="005A1E5D"/>
    <w:rsid w:val="005A36F2"/>
    <w:rsid w:val="005B2A79"/>
    <w:rsid w:val="005C5681"/>
    <w:rsid w:val="005C6924"/>
    <w:rsid w:val="005F7DC8"/>
    <w:rsid w:val="00600BE8"/>
    <w:rsid w:val="006016B5"/>
    <w:rsid w:val="006073E7"/>
    <w:rsid w:val="00615FD5"/>
    <w:rsid w:val="00623329"/>
    <w:rsid w:val="00627BD3"/>
    <w:rsid w:val="006505C9"/>
    <w:rsid w:val="00680D46"/>
    <w:rsid w:val="00682BF9"/>
    <w:rsid w:val="00684B52"/>
    <w:rsid w:val="00697657"/>
    <w:rsid w:val="006C7358"/>
    <w:rsid w:val="006D3CE6"/>
    <w:rsid w:val="006F73E0"/>
    <w:rsid w:val="007020CB"/>
    <w:rsid w:val="0071141A"/>
    <w:rsid w:val="007132E3"/>
    <w:rsid w:val="007275D7"/>
    <w:rsid w:val="00727BAE"/>
    <w:rsid w:val="00727CDB"/>
    <w:rsid w:val="00741A7A"/>
    <w:rsid w:val="007443D7"/>
    <w:rsid w:val="00755AAC"/>
    <w:rsid w:val="007921A0"/>
    <w:rsid w:val="00795D09"/>
    <w:rsid w:val="007B0CD6"/>
    <w:rsid w:val="007B63EE"/>
    <w:rsid w:val="007E2E6A"/>
    <w:rsid w:val="008109AA"/>
    <w:rsid w:val="00810ABE"/>
    <w:rsid w:val="0081346A"/>
    <w:rsid w:val="008152B8"/>
    <w:rsid w:val="00817E97"/>
    <w:rsid w:val="008324EA"/>
    <w:rsid w:val="00874030"/>
    <w:rsid w:val="0088491A"/>
    <w:rsid w:val="00884AE5"/>
    <w:rsid w:val="008968AB"/>
    <w:rsid w:val="008A09F2"/>
    <w:rsid w:val="008A7FE4"/>
    <w:rsid w:val="008C5626"/>
    <w:rsid w:val="008D2B30"/>
    <w:rsid w:val="008D4CEC"/>
    <w:rsid w:val="00901BEB"/>
    <w:rsid w:val="009334B7"/>
    <w:rsid w:val="009418DE"/>
    <w:rsid w:val="009455D4"/>
    <w:rsid w:val="00945EED"/>
    <w:rsid w:val="009512AE"/>
    <w:rsid w:val="00956B83"/>
    <w:rsid w:val="00961E3A"/>
    <w:rsid w:val="009636DD"/>
    <w:rsid w:val="00987356"/>
    <w:rsid w:val="0099334E"/>
    <w:rsid w:val="009B6A6B"/>
    <w:rsid w:val="009D4D20"/>
    <w:rsid w:val="009D7A5A"/>
    <w:rsid w:val="009E7111"/>
    <w:rsid w:val="009F1961"/>
    <w:rsid w:val="00A66106"/>
    <w:rsid w:val="00A764F5"/>
    <w:rsid w:val="00AA1756"/>
    <w:rsid w:val="00AB7610"/>
    <w:rsid w:val="00AE12B4"/>
    <w:rsid w:val="00AE1A52"/>
    <w:rsid w:val="00AF440E"/>
    <w:rsid w:val="00AF6E9D"/>
    <w:rsid w:val="00B1524F"/>
    <w:rsid w:val="00B4145C"/>
    <w:rsid w:val="00B46B64"/>
    <w:rsid w:val="00B533E5"/>
    <w:rsid w:val="00B664A9"/>
    <w:rsid w:val="00B67B48"/>
    <w:rsid w:val="00B84E4D"/>
    <w:rsid w:val="00B93550"/>
    <w:rsid w:val="00BA43A5"/>
    <w:rsid w:val="00BD5E8B"/>
    <w:rsid w:val="00BE08ED"/>
    <w:rsid w:val="00C1367B"/>
    <w:rsid w:val="00C15582"/>
    <w:rsid w:val="00C32A9D"/>
    <w:rsid w:val="00C45BE6"/>
    <w:rsid w:val="00C46638"/>
    <w:rsid w:val="00C6039F"/>
    <w:rsid w:val="00C63A0C"/>
    <w:rsid w:val="00C72E56"/>
    <w:rsid w:val="00C861B0"/>
    <w:rsid w:val="00C868C5"/>
    <w:rsid w:val="00C908B1"/>
    <w:rsid w:val="00C97309"/>
    <w:rsid w:val="00CA4727"/>
    <w:rsid w:val="00CB4E96"/>
    <w:rsid w:val="00CE72D1"/>
    <w:rsid w:val="00D137E1"/>
    <w:rsid w:val="00D34888"/>
    <w:rsid w:val="00D34A1F"/>
    <w:rsid w:val="00D56DEF"/>
    <w:rsid w:val="00D57006"/>
    <w:rsid w:val="00D67B5F"/>
    <w:rsid w:val="00D7082A"/>
    <w:rsid w:val="00D72AD0"/>
    <w:rsid w:val="00D84590"/>
    <w:rsid w:val="00D93A38"/>
    <w:rsid w:val="00D97C18"/>
    <w:rsid w:val="00DA14D1"/>
    <w:rsid w:val="00DA1DA4"/>
    <w:rsid w:val="00DB2FB2"/>
    <w:rsid w:val="00DE2BDF"/>
    <w:rsid w:val="00DE64FB"/>
    <w:rsid w:val="00DF3494"/>
    <w:rsid w:val="00DF6571"/>
    <w:rsid w:val="00E134C8"/>
    <w:rsid w:val="00E170D0"/>
    <w:rsid w:val="00E24BFC"/>
    <w:rsid w:val="00E30934"/>
    <w:rsid w:val="00E42DDD"/>
    <w:rsid w:val="00E50B4A"/>
    <w:rsid w:val="00E578B8"/>
    <w:rsid w:val="00E666D7"/>
    <w:rsid w:val="00E83571"/>
    <w:rsid w:val="00E84D79"/>
    <w:rsid w:val="00EA140F"/>
    <w:rsid w:val="00EA3A1C"/>
    <w:rsid w:val="00EB54E3"/>
    <w:rsid w:val="00EB7D76"/>
    <w:rsid w:val="00EC6338"/>
    <w:rsid w:val="00ED5500"/>
    <w:rsid w:val="00F16165"/>
    <w:rsid w:val="00F17747"/>
    <w:rsid w:val="00F20FBD"/>
    <w:rsid w:val="00F24C1D"/>
    <w:rsid w:val="00F62A4D"/>
    <w:rsid w:val="00F63E00"/>
    <w:rsid w:val="00F66DA4"/>
    <w:rsid w:val="00F83624"/>
    <w:rsid w:val="00F85047"/>
    <w:rsid w:val="00F87A4C"/>
    <w:rsid w:val="00FA26CB"/>
    <w:rsid w:val="00FB3FC4"/>
    <w:rsid w:val="00FD3300"/>
    <w:rsid w:val="00FD5A8E"/>
    <w:rsid w:val="00FE0AEC"/>
    <w:rsid w:val="00F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F7D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D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7D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6F7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B52"/>
  </w:style>
  <w:style w:type="paragraph" w:styleId="Footer">
    <w:name w:val="footer"/>
    <w:basedOn w:val="Normal"/>
    <w:link w:val="FooterChar"/>
    <w:uiPriority w:val="99"/>
    <w:unhideWhenUsed/>
    <w:rsid w:val="00684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B52"/>
  </w:style>
  <w:style w:type="paragraph" w:styleId="BalloonText">
    <w:name w:val="Balloon Text"/>
    <w:basedOn w:val="Normal"/>
    <w:link w:val="BalloonTextChar"/>
    <w:uiPriority w:val="99"/>
    <w:semiHidden/>
    <w:unhideWhenUsed/>
    <w:rsid w:val="0068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64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2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F7D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D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7D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6F7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B52"/>
  </w:style>
  <w:style w:type="paragraph" w:styleId="Footer">
    <w:name w:val="footer"/>
    <w:basedOn w:val="Normal"/>
    <w:link w:val="FooterChar"/>
    <w:uiPriority w:val="99"/>
    <w:unhideWhenUsed/>
    <w:rsid w:val="00684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B52"/>
  </w:style>
  <w:style w:type="paragraph" w:styleId="BalloonText">
    <w:name w:val="Balloon Text"/>
    <w:basedOn w:val="Normal"/>
    <w:link w:val="BalloonTextChar"/>
    <w:uiPriority w:val="99"/>
    <w:semiHidden/>
    <w:unhideWhenUsed/>
    <w:rsid w:val="0068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64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2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graham@helpage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lo.org/dyn/normlex/en/f?p=NORMLEXPUB:12100:0::NO::P12100_ILO_CODE:R202" TargetMode="External"/><Relationship Id="rId2" Type="http://schemas.openxmlformats.org/officeDocument/2006/relationships/hyperlink" Target="https://sustainabledevelopment.un.org/focussdgs.html" TargetMode="External"/><Relationship Id="rId1" Type="http://schemas.openxmlformats.org/officeDocument/2006/relationships/hyperlink" Target="http://www.consilium.europa.eu/uedocs/cms_data/docs/pressdata/EN/foraff/146311.pdf" TargetMode="External"/><Relationship Id="rId5" Type="http://schemas.openxmlformats.org/officeDocument/2006/relationships/hyperlink" Target="http://ec.europa.eu/europeaid/sites/devco/files/part1-a-decent-life-for-all.pdf" TargetMode="External"/><Relationship Id="rId4" Type="http://schemas.openxmlformats.org/officeDocument/2006/relationships/hyperlink" Target="http://ec.europa.eu/europeaid/documents/2013-02-22_communication_a_decent_life_for_all_post_2015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CB29-4EF1-460E-B621-8AFA0BB1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egraham</dc:creator>
  <cp:lastModifiedBy>egraham</cp:lastModifiedBy>
  <cp:revision>2</cp:revision>
  <dcterms:created xsi:type="dcterms:W3CDTF">2015-01-29T17:21:00Z</dcterms:created>
  <dcterms:modified xsi:type="dcterms:W3CDTF">2015-01-29T17:21:00Z</dcterms:modified>
</cp:coreProperties>
</file>