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E5" w:rsidRPr="00F15F19" w:rsidRDefault="00614DC2" w:rsidP="004F0D64">
      <w:pPr>
        <w:pStyle w:val="BodyCopy"/>
        <w:spacing w:after="240" w:line="240" w:lineRule="auto"/>
        <w:rPr>
          <w:rFonts w:asciiTheme="minorHAnsi" w:hAnsiTheme="minorHAnsi" w:cstheme="minorHAnsi"/>
          <w:b/>
          <w:color w:val="auto"/>
          <w:sz w:val="22"/>
          <w:szCs w:val="22"/>
        </w:rPr>
      </w:pPr>
      <w:bookmarkStart w:id="0" w:name="_GoBack"/>
      <w:bookmarkEnd w:id="0"/>
      <w:r w:rsidRPr="00994CE7">
        <w:rPr>
          <w:rFonts w:asciiTheme="minorHAnsi" w:hAnsiTheme="minorHAnsi" w:cstheme="minorHAnsi"/>
          <w:b/>
          <w:color w:val="auto"/>
          <w:sz w:val="22"/>
          <w:szCs w:val="22"/>
        </w:rPr>
        <w:t xml:space="preserve">HELPAGE INTERNATIONAL </w:t>
      </w:r>
      <w:r w:rsidR="00F15F19" w:rsidRPr="00994CE7">
        <w:rPr>
          <w:rFonts w:asciiTheme="minorHAnsi" w:hAnsiTheme="minorHAnsi" w:cstheme="minorHAnsi"/>
          <w:b/>
          <w:color w:val="auto"/>
          <w:sz w:val="22"/>
          <w:szCs w:val="22"/>
        </w:rPr>
        <w:t>Press Release</w:t>
      </w:r>
      <w:r w:rsidR="004022F6" w:rsidRPr="00994CE7">
        <w:rPr>
          <w:rFonts w:asciiTheme="minorHAnsi" w:hAnsiTheme="minorHAnsi" w:cstheme="minorHAnsi"/>
          <w:b/>
          <w:color w:val="auto"/>
          <w:sz w:val="22"/>
          <w:szCs w:val="22"/>
        </w:rPr>
        <w:t>:</w:t>
      </w:r>
      <w:r w:rsidR="004022F6" w:rsidRPr="00994CE7">
        <w:rPr>
          <w:rFonts w:asciiTheme="minorHAnsi" w:hAnsiTheme="minorHAnsi" w:cstheme="minorHAnsi"/>
          <w:b/>
          <w:color w:val="FF0000"/>
          <w:sz w:val="22"/>
          <w:szCs w:val="22"/>
        </w:rPr>
        <w:t xml:space="preserve"> </w:t>
      </w:r>
      <w:r w:rsidR="004022F6" w:rsidRPr="00614DC2">
        <w:rPr>
          <w:rFonts w:asciiTheme="minorHAnsi" w:hAnsiTheme="minorHAnsi" w:cstheme="minorHAnsi"/>
          <w:b/>
          <w:color w:val="FF0000"/>
          <w:sz w:val="22"/>
          <w:szCs w:val="22"/>
          <w:u w:val="single"/>
        </w:rPr>
        <w:t>STRICTLY EMBARGOED UNTIL 00.01am 1 OCTOBER 2014</w:t>
      </w:r>
    </w:p>
    <w:p w:rsidR="004022F6" w:rsidRPr="00273D1F" w:rsidRDefault="004022F6" w:rsidP="004F0D64">
      <w:pPr>
        <w:spacing w:after="0" w:line="240" w:lineRule="auto"/>
        <w:rPr>
          <w:rFonts w:cstheme="minorHAnsi"/>
          <w:b/>
        </w:rPr>
      </w:pPr>
      <w:r w:rsidRPr="00273D1F">
        <w:rPr>
          <w:rFonts w:cstheme="minorHAnsi"/>
          <w:b/>
        </w:rPr>
        <w:t>GLOBAL AGEWATCH INDEX 2014</w:t>
      </w:r>
    </w:p>
    <w:p w:rsidR="00984700" w:rsidRDefault="004022F6" w:rsidP="004F0D64">
      <w:pPr>
        <w:spacing w:after="0" w:line="240" w:lineRule="auto"/>
        <w:rPr>
          <w:rFonts w:cstheme="minorHAnsi"/>
          <w:b/>
          <w:i/>
          <w:color w:val="000000" w:themeColor="text1"/>
        </w:rPr>
      </w:pPr>
      <w:r w:rsidRPr="009930EA">
        <w:rPr>
          <w:rFonts w:cstheme="minorHAnsi"/>
          <w:b/>
          <w:i/>
          <w:color w:val="000000" w:themeColor="text1"/>
        </w:rPr>
        <w:t xml:space="preserve">Norway </w:t>
      </w:r>
      <w:r w:rsidR="002B1148" w:rsidRPr="009930EA">
        <w:rPr>
          <w:rFonts w:cstheme="minorHAnsi"/>
          <w:b/>
          <w:i/>
          <w:color w:val="000000" w:themeColor="text1"/>
        </w:rPr>
        <w:t>tops the list</w:t>
      </w:r>
      <w:r w:rsidR="001D7A63">
        <w:rPr>
          <w:rFonts w:cstheme="minorHAnsi"/>
          <w:b/>
          <w:i/>
          <w:color w:val="000000" w:themeColor="text1"/>
        </w:rPr>
        <w:t xml:space="preserve">, </w:t>
      </w:r>
      <w:r w:rsidR="00246098">
        <w:rPr>
          <w:rFonts w:cstheme="minorHAnsi"/>
          <w:b/>
          <w:i/>
          <w:color w:val="000000" w:themeColor="text1"/>
        </w:rPr>
        <w:t>Latin America leads</w:t>
      </w:r>
      <w:r w:rsidR="004E668F">
        <w:rPr>
          <w:rFonts w:cstheme="minorHAnsi"/>
          <w:b/>
          <w:i/>
          <w:color w:val="000000" w:themeColor="text1"/>
        </w:rPr>
        <w:t xml:space="preserve"> pension revolution</w:t>
      </w:r>
      <w:r w:rsidR="007137AE">
        <w:rPr>
          <w:rFonts w:cstheme="minorHAnsi"/>
          <w:b/>
          <w:i/>
          <w:color w:val="000000" w:themeColor="text1"/>
        </w:rPr>
        <w:t xml:space="preserve">, </w:t>
      </w:r>
      <w:r w:rsidR="007C66B4">
        <w:rPr>
          <w:rFonts w:cstheme="minorHAnsi"/>
          <w:b/>
          <w:i/>
          <w:color w:val="000000" w:themeColor="text1"/>
        </w:rPr>
        <w:t xml:space="preserve">life expectancy </w:t>
      </w:r>
      <w:r w:rsidR="00041A79">
        <w:rPr>
          <w:rFonts w:cstheme="minorHAnsi"/>
          <w:b/>
          <w:i/>
          <w:color w:val="000000" w:themeColor="text1"/>
        </w:rPr>
        <w:t>continues to rise</w:t>
      </w:r>
      <w:r w:rsidR="007C66B4">
        <w:rPr>
          <w:rFonts w:cstheme="minorHAnsi"/>
          <w:b/>
          <w:i/>
          <w:color w:val="000000" w:themeColor="text1"/>
        </w:rPr>
        <w:t>,</w:t>
      </w:r>
      <w:r w:rsidR="005C0BF5">
        <w:rPr>
          <w:rFonts w:cstheme="minorHAnsi"/>
          <w:b/>
          <w:i/>
          <w:color w:val="000000" w:themeColor="text1"/>
        </w:rPr>
        <w:t xml:space="preserve"> a </w:t>
      </w:r>
      <w:r w:rsidR="00926C12">
        <w:rPr>
          <w:rFonts w:cstheme="minorHAnsi"/>
          <w:b/>
          <w:i/>
          <w:color w:val="000000" w:themeColor="text1"/>
        </w:rPr>
        <w:t xml:space="preserve">third </w:t>
      </w:r>
      <w:r w:rsidR="001D7A63">
        <w:rPr>
          <w:rFonts w:cstheme="minorHAnsi"/>
          <w:b/>
          <w:i/>
          <w:color w:val="000000" w:themeColor="text1"/>
        </w:rPr>
        <w:t xml:space="preserve">of </w:t>
      </w:r>
      <w:r w:rsidR="00246098">
        <w:rPr>
          <w:rFonts w:cstheme="minorHAnsi"/>
          <w:b/>
          <w:i/>
          <w:color w:val="000000" w:themeColor="text1"/>
        </w:rPr>
        <w:t>countries trail</w:t>
      </w:r>
      <w:r w:rsidR="00926C12">
        <w:rPr>
          <w:rFonts w:cstheme="minorHAnsi"/>
          <w:b/>
          <w:i/>
          <w:color w:val="000000" w:themeColor="text1"/>
        </w:rPr>
        <w:t xml:space="preserve"> significantly behind top performers</w:t>
      </w:r>
      <w:r w:rsidR="00915A3C" w:rsidRPr="002C1E69">
        <w:rPr>
          <w:rFonts w:cstheme="minorHAnsi"/>
          <w:b/>
          <w:i/>
          <w:color w:val="000000" w:themeColor="text1"/>
        </w:rPr>
        <w:t xml:space="preserve"> </w:t>
      </w:r>
    </w:p>
    <w:p w:rsidR="00653DE5" w:rsidRPr="00653DE5" w:rsidRDefault="00653DE5" w:rsidP="004F0D64">
      <w:pPr>
        <w:spacing w:after="0" w:line="240" w:lineRule="auto"/>
        <w:rPr>
          <w:rFonts w:cstheme="minorHAnsi"/>
          <w:b/>
          <w:i/>
          <w:color w:val="000000" w:themeColor="text1"/>
        </w:rPr>
      </w:pPr>
    </w:p>
    <w:p w:rsidR="00FF1E45" w:rsidRDefault="001C2122" w:rsidP="004F0D64">
      <w:pPr>
        <w:spacing w:after="0" w:line="240" w:lineRule="auto"/>
        <w:rPr>
          <w:rFonts w:eastAsia="Times New Roman" w:cstheme="minorHAnsi"/>
          <w:b/>
          <w:color w:val="000000"/>
          <w:lang w:eastAsia="en-GB"/>
        </w:rPr>
      </w:pPr>
      <w:r w:rsidRPr="009A7157">
        <w:rPr>
          <w:rFonts w:eastAsia="Times New Roman" w:cstheme="minorHAnsi"/>
          <w:b/>
          <w:color w:val="000000"/>
          <w:lang w:eastAsia="en-GB"/>
        </w:rPr>
        <w:t>Today</w:t>
      </w:r>
      <w:r w:rsidR="00CE5431" w:rsidRPr="009A7157">
        <w:rPr>
          <w:rFonts w:eastAsia="Times New Roman" w:cstheme="minorHAnsi"/>
          <w:b/>
          <w:color w:val="000000"/>
          <w:lang w:eastAsia="en-GB"/>
        </w:rPr>
        <w:t xml:space="preserve"> (1 October 2014)</w:t>
      </w:r>
      <w:r w:rsidRPr="009A7157">
        <w:rPr>
          <w:rFonts w:eastAsia="Times New Roman" w:cstheme="minorHAnsi"/>
          <w:b/>
          <w:color w:val="000000"/>
          <w:lang w:eastAsia="en-GB"/>
        </w:rPr>
        <w:t xml:space="preserve">, the United Nations </w:t>
      </w:r>
      <w:r w:rsidR="00D72050" w:rsidRPr="009A7157">
        <w:rPr>
          <w:rFonts w:eastAsia="Times New Roman" w:cstheme="minorHAnsi"/>
          <w:b/>
          <w:color w:val="000000"/>
          <w:lang w:eastAsia="en-GB"/>
        </w:rPr>
        <w:t>International Day of Older Persons, HelpAge Inter</w:t>
      </w:r>
      <w:r w:rsidR="00190FF2">
        <w:rPr>
          <w:rFonts w:eastAsia="Times New Roman" w:cstheme="minorHAnsi"/>
          <w:b/>
          <w:color w:val="000000"/>
          <w:lang w:eastAsia="en-GB"/>
        </w:rPr>
        <w:t>national is launching the</w:t>
      </w:r>
      <w:r w:rsidR="00D72050" w:rsidRPr="009A7157">
        <w:rPr>
          <w:rFonts w:eastAsia="Times New Roman" w:cstheme="minorHAnsi"/>
          <w:b/>
          <w:color w:val="000000"/>
          <w:lang w:eastAsia="en-GB"/>
        </w:rPr>
        <w:t xml:space="preserve"> Global A</w:t>
      </w:r>
      <w:r w:rsidR="00EF5C9C" w:rsidRPr="009A7157">
        <w:rPr>
          <w:rFonts w:eastAsia="Times New Roman" w:cstheme="minorHAnsi"/>
          <w:b/>
          <w:color w:val="000000"/>
          <w:lang w:eastAsia="en-GB"/>
        </w:rPr>
        <w:t>geWatch Index 2014</w:t>
      </w:r>
      <w:r w:rsidR="00545346">
        <w:rPr>
          <w:rFonts w:eastAsia="Times New Roman" w:cstheme="minorHAnsi"/>
          <w:b/>
          <w:color w:val="000000"/>
          <w:lang w:eastAsia="en-GB"/>
        </w:rPr>
        <w:t xml:space="preserve"> ranking</w:t>
      </w:r>
      <w:r w:rsidR="00596941">
        <w:rPr>
          <w:rFonts w:eastAsia="Times New Roman" w:cstheme="minorHAnsi"/>
          <w:b/>
          <w:color w:val="000000"/>
          <w:lang w:eastAsia="en-GB"/>
        </w:rPr>
        <w:t xml:space="preserve"> 96 co</w:t>
      </w:r>
      <w:r w:rsidR="00197AB0">
        <w:rPr>
          <w:rFonts w:eastAsia="Times New Roman" w:cstheme="minorHAnsi"/>
          <w:b/>
          <w:color w:val="000000"/>
          <w:lang w:eastAsia="en-GB"/>
        </w:rPr>
        <w:t>unt</w:t>
      </w:r>
      <w:r w:rsidR="00B75BFB">
        <w:rPr>
          <w:rFonts w:eastAsia="Times New Roman" w:cstheme="minorHAnsi"/>
          <w:b/>
          <w:color w:val="000000"/>
          <w:lang w:eastAsia="en-GB"/>
        </w:rPr>
        <w:t xml:space="preserve">ries </w:t>
      </w:r>
      <w:r w:rsidR="00197AB0">
        <w:rPr>
          <w:rFonts w:eastAsia="Times New Roman" w:cstheme="minorHAnsi"/>
          <w:b/>
          <w:color w:val="000000"/>
          <w:lang w:eastAsia="en-GB"/>
        </w:rPr>
        <w:t>according to the social and economic wellbeing of older people</w:t>
      </w:r>
      <w:r w:rsidR="00596941">
        <w:rPr>
          <w:rFonts w:eastAsia="Times New Roman" w:cstheme="minorHAnsi"/>
          <w:b/>
          <w:color w:val="000000"/>
          <w:lang w:eastAsia="en-GB"/>
        </w:rPr>
        <w:t>.</w:t>
      </w:r>
      <w:r w:rsidR="00197AB0">
        <w:rPr>
          <w:rFonts w:eastAsia="Times New Roman" w:cstheme="minorHAnsi"/>
          <w:b/>
          <w:color w:val="000000"/>
          <w:lang w:eastAsia="en-GB"/>
        </w:rPr>
        <w:t xml:space="preserve"> </w:t>
      </w:r>
    </w:p>
    <w:p w:rsidR="00FF1E45" w:rsidRDefault="00FF1E45" w:rsidP="004F0D64">
      <w:pPr>
        <w:spacing w:after="0" w:line="240" w:lineRule="auto"/>
        <w:rPr>
          <w:rFonts w:eastAsia="Times New Roman" w:cstheme="minorHAnsi"/>
          <w:b/>
          <w:color w:val="000000"/>
          <w:lang w:eastAsia="en-GB"/>
        </w:rPr>
      </w:pPr>
    </w:p>
    <w:p w:rsidR="00E96D54" w:rsidRDefault="00197AB0" w:rsidP="004F0D64">
      <w:pPr>
        <w:spacing w:after="0" w:line="240" w:lineRule="auto"/>
        <w:rPr>
          <w:b/>
        </w:rPr>
      </w:pPr>
      <w:r>
        <w:rPr>
          <w:rFonts w:eastAsia="Times New Roman" w:cstheme="minorHAnsi"/>
          <w:b/>
          <w:color w:val="000000"/>
          <w:lang w:eastAsia="en-GB"/>
        </w:rPr>
        <w:t>This represents</w:t>
      </w:r>
      <w:r w:rsidR="00596941">
        <w:rPr>
          <w:rFonts w:eastAsia="Times New Roman" w:cstheme="minorHAnsi"/>
          <w:b/>
          <w:color w:val="000000"/>
          <w:lang w:eastAsia="en-GB"/>
        </w:rPr>
        <w:t xml:space="preserve"> </w:t>
      </w:r>
      <w:r>
        <w:rPr>
          <w:rFonts w:eastAsia="Times New Roman" w:cstheme="minorHAnsi"/>
          <w:b/>
          <w:color w:val="000000"/>
          <w:lang w:eastAsia="en-GB"/>
        </w:rPr>
        <w:t>91 per cent o</w:t>
      </w:r>
      <w:r w:rsidR="002D7551">
        <w:rPr>
          <w:rFonts w:eastAsia="Times New Roman" w:cstheme="minorHAnsi"/>
          <w:b/>
          <w:color w:val="000000"/>
          <w:lang w:eastAsia="en-GB"/>
        </w:rPr>
        <w:t>r nine out of ten</w:t>
      </w:r>
      <w:r w:rsidR="008E0D66">
        <w:rPr>
          <w:rFonts w:eastAsia="Times New Roman" w:cstheme="minorHAnsi"/>
          <w:b/>
          <w:color w:val="000000"/>
          <w:lang w:eastAsia="en-GB"/>
        </w:rPr>
        <w:t xml:space="preserve"> </w:t>
      </w:r>
      <w:r w:rsidR="002D7551">
        <w:rPr>
          <w:rFonts w:eastAsia="Times New Roman" w:cstheme="minorHAnsi"/>
          <w:b/>
          <w:color w:val="000000"/>
          <w:lang w:eastAsia="en-GB"/>
        </w:rPr>
        <w:t xml:space="preserve">people </w:t>
      </w:r>
      <w:r w:rsidR="008E0D66">
        <w:rPr>
          <w:rFonts w:eastAsia="Times New Roman" w:cstheme="minorHAnsi"/>
          <w:b/>
          <w:color w:val="000000"/>
          <w:lang w:eastAsia="en-GB"/>
        </w:rPr>
        <w:t xml:space="preserve">over 60 </w:t>
      </w:r>
      <w:r w:rsidR="00596941">
        <w:rPr>
          <w:rFonts w:eastAsia="Times New Roman" w:cstheme="minorHAnsi"/>
          <w:b/>
          <w:color w:val="000000"/>
          <w:lang w:eastAsia="en-GB"/>
        </w:rPr>
        <w:t>across the world</w:t>
      </w:r>
      <w:r w:rsidR="00EF7DEA" w:rsidRPr="00541219">
        <w:rPr>
          <w:rFonts w:eastAsia="Times New Roman" w:cstheme="minorHAnsi"/>
          <w:b/>
          <w:color w:val="000000"/>
          <w:lang w:eastAsia="en-GB"/>
        </w:rPr>
        <w:t xml:space="preserve">. </w:t>
      </w:r>
      <w:r w:rsidR="004E4641" w:rsidRPr="00541219">
        <w:rPr>
          <w:rFonts w:eastAsia="Times New Roman" w:cstheme="minorHAnsi"/>
          <w:b/>
          <w:color w:val="000000"/>
          <w:lang w:eastAsia="en-GB"/>
        </w:rPr>
        <w:t xml:space="preserve"> </w:t>
      </w:r>
      <w:r w:rsidR="00541219" w:rsidRPr="00541219">
        <w:rPr>
          <w:rFonts w:eastAsia="Times New Roman" w:cstheme="minorHAnsi"/>
          <w:b/>
          <w:color w:val="000000"/>
          <w:lang w:eastAsia="en-GB"/>
        </w:rPr>
        <w:t xml:space="preserve">It </w:t>
      </w:r>
      <w:r w:rsidR="00541219" w:rsidRPr="00541219">
        <w:rPr>
          <w:b/>
        </w:rPr>
        <w:t>meas</w:t>
      </w:r>
      <w:r w:rsidR="00394F84">
        <w:rPr>
          <w:b/>
        </w:rPr>
        <w:t xml:space="preserve">ures wellbeing </w:t>
      </w:r>
      <w:r w:rsidR="003635BF">
        <w:rPr>
          <w:b/>
        </w:rPr>
        <w:t>in</w:t>
      </w:r>
      <w:r w:rsidR="00394F84">
        <w:rPr>
          <w:b/>
        </w:rPr>
        <w:t xml:space="preserve"> four key areas</w:t>
      </w:r>
      <w:r w:rsidR="00BD1F33">
        <w:rPr>
          <w:b/>
        </w:rPr>
        <w:t>: income security, health</w:t>
      </w:r>
      <w:r w:rsidR="000F1A17">
        <w:rPr>
          <w:b/>
        </w:rPr>
        <w:t>, personal capability and</w:t>
      </w:r>
      <w:r w:rsidR="00541219" w:rsidRPr="00541219">
        <w:rPr>
          <w:b/>
        </w:rPr>
        <w:t xml:space="preserve"> </w:t>
      </w:r>
      <w:r w:rsidR="000F1A17">
        <w:rPr>
          <w:b/>
        </w:rPr>
        <w:t xml:space="preserve">an </w:t>
      </w:r>
      <w:r w:rsidR="00541219" w:rsidRPr="00541219">
        <w:rPr>
          <w:b/>
        </w:rPr>
        <w:t>enabling environment.</w:t>
      </w:r>
    </w:p>
    <w:p w:rsidR="002F31C6" w:rsidRDefault="002F31C6" w:rsidP="004F0D64">
      <w:pPr>
        <w:shd w:val="clear" w:color="auto" w:fill="FFFFFF"/>
        <w:spacing w:after="0" w:line="240" w:lineRule="auto"/>
        <w:rPr>
          <w:rFonts w:eastAsia="Times New Roman" w:cstheme="minorHAnsi"/>
          <w:b/>
          <w:color w:val="000000"/>
          <w:lang w:eastAsia="en-GB"/>
        </w:rPr>
      </w:pPr>
    </w:p>
    <w:p w:rsidR="002F31C6" w:rsidRDefault="002F31C6" w:rsidP="004F0D64">
      <w:pPr>
        <w:shd w:val="clear" w:color="auto" w:fill="FFFFFF"/>
        <w:spacing w:after="0" w:line="240" w:lineRule="auto"/>
        <w:rPr>
          <w:rFonts w:eastAsia="Times New Roman" w:cstheme="minorHAnsi"/>
          <w:b/>
          <w:color w:val="000000"/>
          <w:lang w:eastAsia="en-GB"/>
        </w:rPr>
      </w:pPr>
      <w:r w:rsidRPr="00273D1F">
        <w:rPr>
          <w:rFonts w:eastAsia="Times New Roman" w:cstheme="minorHAnsi"/>
          <w:b/>
          <w:color w:val="000000"/>
          <w:lang w:eastAsia="en-GB"/>
        </w:rPr>
        <w:t>What’s new</w:t>
      </w:r>
      <w:r w:rsidR="0094123D">
        <w:rPr>
          <w:rFonts w:eastAsia="Times New Roman" w:cstheme="minorHAnsi"/>
          <w:b/>
          <w:color w:val="000000"/>
          <w:lang w:eastAsia="en-GB"/>
        </w:rPr>
        <w:t xml:space="preserve"> in 2014</w:t>
      </w:r>
      <w:r w:rsidR="002C748C">
        <w:rPr>
          <w:rFonts w:eastAsia="Times New Roman" w:cstheme="minorHAnsi"/>
          <w:b/>
          <w:color w:val="000000"/>
          <w:lang w:eastAsia="en-GB"/>
        </w:rPr>
        <w:t>?</w:t>
      </w:r>
    </w:p>
    <w:p w:rsidR="002F31C6" w:rsidRDefault="004507AF" w:rsidP="004F0D64">
      <w:pPr>
        <w:shd w:val="clear" w:color="auto" w:fill="FFFFFF"/>
        <w:spacing w:after="0" w:line="240" w:lineRule="auto"/>
        <w:rPr>
          <w:rFonts w:eastAsia="Times New Roman" w:cstheme="minorHAnsi"/>
          <w:color w:val="000000"/>
          <w:lang w:eastAsia="en-GB"/>
        </w:rPr>
      </w:pPr>
      <w:r w:rsidRPr="004507AF">
        <w:rPr>
          <w:rFonts w:eastAsia="Times New Roman" w:cstheme="minorHAnsi"/>
          <w:color w:val="000000"/>
          <w:lang w:eastAsia="en-GB"/>
        </w:rPr>
        <w:t xml:space="preserve">Globally </w:t>
      </w:r>
      <w:r w:rsidR="002F31C6">
        <w:rPr>
          <w:rFonts w:eastAsia="Times New Roman" w:cstheme="minorHAnsi"/>
          <w:color w:val="000000"/>
          <w:lang w:eastAsia="en-GB"/>
        </w:rPr>
        <w:t xml:space="preserve">Norway (1) </w:t>
      </w:r>
      <w:r w:rsidR="00D81463">
        <w:rPr>
          <w:rFonts w:eastAsia="Times New Roman" w:cstheme="minorHAnsi"/>
          <w:color w:val="000000"/>
          <w:lang w:eastAsia="en-GB"/>
        </w:rPr>
        <w:t>tops the Index</w:t>
      </w:r>
      <w:r w:rsidR="00D23071">
        <w:rPr>
          <w:rFonts w:eastAsia="Times New Roman" w:cstheme="minorHAnsi"/>
          <w:color w:val="000000"/>
          <w:lang w:eastAsia="en-GB"/>
        </w:rPr>
        <w:t xml:space="preserve"> this year</w:t>
      </w:r>
      <w:r w:rsidR="002F31C6">
        <w:rPr>
          <w:rFonts w:eastAsia="Times New Roman" w:cstheme="minorHAnsi"/>
          <w:color w:val="000000"/>
          <w:lang w:eastAsia="en-GB"/>
        </w:rPr>
        <w:t>,</w:t>
      </w:r>
      <w:r w:rsidR="002F31C6" w:rsidRPr="001905E6">
        <w:rPr>
          <w:rFonts w:eastAsia="Times New Roman" w:cstheme="minorHAnsi"/>
          <w:color w:val="000000"/>
          <w:lang w:eastAsia="en-GB"/>
        </w:rPr>
        <w:t xml:space="preserve"> closely followed by Sweden</w:t>
      </w:r>
      <w:r w:rsidR="002F31C6">
        <w:rPr>
          <w:rFonts w:eastAsia="Times New Roman" w:cstheme="minorHAnsi"/>
          <w:color w:val="000000"/>
          <w:lang w:eastAsia="en-GB"/>
        </w:rPr>
        <w:t xml:space="preserve">. </w:t>
      </w:r>
      <w:r w:rsidR="002F31C6" w:rsidRPr="001905E6">
        <w:rPr>
          <w:rFonts w:eastAsia="Times New Roman" w:cstheme="minorHAnsi"/>
          <w:color w:val="000000"/>
          <w:lang w:eastAsia="en-GB"/>
        </w:rPr>
        <w:t>Apart from</w:t>
      </w:r>
      <w:r w:rsidR="002F31C6">
        <w:rPr>
          <w:rFonts w:eastAsia="Times New Roman" w:cstheme="minorHAnsi"/>
          <w:b/>
          <w:color w:val="000000"/>
          <w:lang w:eastAsia="en-GB"/>
        </w:rPr>
        <w:t xml:space="preserve"> </w:t>
      </w:r>
      <w:r w:rsidR="002F31C6" w:rsidRPr="00273D1F">
        <w:rPr>
          <w:rFonts w:eastAsia="Times New Roman" w:cstheme="minorHAnsi"/>
          <w:color w:val="000000"/>
          <w:lang w:eastAsia="en-GB"/>
        </w:rPr>
        <w:t xml:space="preserve">Japan (9) all the top 10 countries are again in Western Europe, North America and Australasia. </w:t>
      </w:r>
      <w:r w:rsidR="00B51F54">
        <w:rPr>
          <w:rFonts w:eastAsia="Times New Roman" w:cstheme="minorHAnsi"/>
          <w:color w:val="000000"/>
          <w:lang w:eastAsia="en-GB"/>
        </w:rPr>
        <w:t>Five new countries</w:t>
      </w:r>
      <w:r w:rsidR="003639FB">
        <w:rPr>
          <w:rFonts w:eastAsia="Times New Roman" w:cstheme="minorHAnsi"/>
          <w:color w:val="000000"/>
          <w:lang w:eastAsia="en-GB"/>
        </w:rPr>
        <w:t xml:space="preserve"> </w:t>
      </w:r>
      <w:r w:rsidR="008E037D">
        <w:rPr>
          <w:rFonts w:eastAsia="Times New Roman" w:cstheme="minorHAnsi"/>
          <w:color w:val="000000"/>
          <w:lang w:eastAsia="en-GB"/>
        </w:rPr>
        <w:t xml:space="preserve">have been added </w:t>
      </w:r>
      <w:r w:rsidR="003639FB">
        <w:rPr>
          <w:rFonts w:eastAsia="Times New Roman" w:cstheme="minorHAnsi"/>
          <w:color w:val="000000"/>
          <w:lang w:eastAsia="en-GB"/>
        </w:rPr>
        <w:t xml:space="preserve">- </w:t>
      </w:r>
      <w:r w:rsidR="00B51F54">
        <w:rPr>
          <w:rFonts w:eastAsia="Times New Roman" w:cstheme="minorHAnsi"/>
          <w:color w:val="000000"/>
          <w:lang w:eastAsia="en-GB"/>
        </w:rPr>
        <w:t>Bangladesh, Iraq, Mozambique, Uganda and Zambia</w:t>
      </w:r>
      <w:r w:rsidR="003639FB">
        <w:rPr>
          <w:rFonts w:eastAsia="Times New Roman" w:cstheme="minorHAnsi"/>
          <w:color w:val="000000"/>
          <w:lang w:eastAsia="en-GB"/>
        </w:rPr>
        <w:t>.</w:t>
      </w:r>
    </w:p>
    <w:p w:rsidR="002F31C6" w:rsidRPr="00273D1F" w:rsidRDefault="002F31C6" w:rsidP="004F0D64">
      <w:pPr>
        <w:shd w:val="clear" w:color="auto" w:fill="FFFFFF"/>
        <w:spacing w:after="0" w:line="240" w:lineRule="auto"/>
        <w:rPr>
          <w:rFonts w:eastAsia="Times New Roman" w:cstheme="minorHAnsi"/>
          <w:color w:val="000000"/>
          <w:lang w:eastAsia="en-GB"/>
        </w:rPr>
      </w:pPr>
    </w:p>
    <w:p w:rsidR="00D23071" w:rsidRDefault="002F31C6" w:rsidP="004F0D64">
      <w:pPr>
        <w:shd w:val="clear" w:color="auto" w:fill="FFFFFF"/>
        <w:spacing w:after="0" w:line="240" w:lineRule="auto"/>
        <w:rPr>
          <w:rFonts w:cstheme="minorHAnsi"/>
          <w:color w:val="000000" w:themeColor="text1"/>
        </w:rPr>
      </w:pPr>
      <w:r w:rsidRPr="00056E77">
        <w:rPr>
          <w:rFonts w:eastAsia="Times New Roman" w:cstheme="minorHAnsi"/>
          <w:color w:val="000000"/>
          <w:lang w:eastAsia="en-GB"/>
        </w:rPr>
        <w:t>The w</w:t>
      </w:r>
      <w:r>
        <w:rPr>
          <w:rFonts w:eastAsia="Times New Roman" w:cstheme="minorHAnsi"/>
          <w:color w:val="000000"/>
          <w:lang w:eastAsia="en-GB"/>
        </w:rPr>
        <w:t xml:space="preserve">orst place for an older person is </w:t>
      </w:r>
      <w:r w:rsidRPr="00273D1F">
        <w:rPr>
          <w:rFonts w:eastAsia="Times New Roman" w:cstheme="minorHAnsi"/>
          <w:color w:val="000000"/>
          <w:lang w:eastAsia="en-GB"/>
        </w:rPr>
        <w:t xml:space="preserve">Afghanistan (96). </w:t>
      </w:r>
      <w:r w:rsidRPr="00273D1F">
        <w:rPr>
          <w:rFonts w:cstheme="minorHAnsi"/>
          <w:color w:val="000000" w:themeColor="text1"/>
        </w:rPr>
        <w:t xml:space="preserve">Just above it come Mozambique (95), West Bank and Gaza (94) and Malawi (93). </w:t>
      </w:r>
    </w:p>
    <w:p w:rsidR="00D23071" w:rsidRDefault="00D23071" w:rsidP="004F0D64">
      <w:pPr>
        <w:shd w:val="clear" w:color="auto" w:fill="FFFFFF"/>
        <w:spacing w:after="0" w:line="240" w:lineRule="auto"/>
        <w:rPr>
          <w:rFonts w:cstheme="minorHAnsi"/>
          <w:color w:val="000000" w:themeColor="text1"/>
        </w:rPr>
      </w:pPr>
    </w:p>
    <w:p w:rsidR="002F31C6" w:rsidRDefault="002F31C6" w:rsidP="004F0D64">
      <w:pPr>
        <w:shd w:val="clear" w:color="auto" w:fill="FFFFFF"/>
        <w:spacing w:after="0" w:line="240" w:lineRule="auto"/>
        <w:rPr>
          <w:rFonts w:cstheme="minorHAnsi"/>
          <w:color w:val="000000" w:themeColor="text1"/>
        </w:rPr>
      </w:pPr>
      <w:r w:rsidRPr="00273D1F">
        <w:rPr>
          <w:rFonts w:eastAsia="Times New Roman" w:cstheme="minorHAnsi"/>
          <w:color w:val="000000"/>
          <w:lang w:eastAsia="en-GB"/>
        </w:rPr>
        <w:t>All regions are represented in the lowest quarter, with African countries making up half of those with low income security rankings and poor health results. Venezuela (76), Serbia (78) and Turkey (77) are included in this section in similar position to countries in sub-Saharan Africa and Asia.</w:t>
      </w:r>
      <w:r w:rsidRPr="001905E6">
        <w:rPr>
          <w:rFonts w:cstheme="minorHAnsi"/>
          <w:color w:val="000000" w:themeColor="text1"/>
        </w:rPr>
        <w:t xml:space="preserve"> </w:t>
      </w:r>
    </w:p>
    <w:p w:rsidR="00D23071" w:rsidRDefault="00D23071" w:rsidP="004F0D64">
      <w:pPr>
        <w:shd w:val="clear" w:color="auto" w:fill="FFFFFF"/>
        <w:spacing w:after="0" w:line="240" w:lineRule="auto"/>
        <w:rPr>
          <w:rFonts w:eastAsia="Times New Roman" w:cstheme="minorHAnsi"/>
          <w:color w:val="000000"/>
          <w:lang w:eastAsia="en-GB"/>
        </w:rPr>
      </w:pPr>
    </w:p>
    <w:p w:rsidR="001930B0" w:rsidRPr="00273D1F" w:rsidRDefault="001930B0" w:rsidP="004F0D64">
      <w:pPr>
        <w:spacing w:after="0" w:line="240" w:lineRule="auto"/>
        <w:rPr>
          <w:rFonts w:cstheme="minorHAnsi"/>
          <w:color w:val="000000" w:themeColor="text1"/>
        </w:rPr>
      </w:pPr>
      <w:r w:rsidRPr="00273D1F">
        <w:rPr>
          <w:rFonts w:cstheme="minorHAnsi"/>
          <w:color w:val="000000" w:themeColor="text1"/>
        </w:rPr>
        <w:t>Chile (22) leads a cluster of Latin American countries including Uruguay (23), Panama (24), Costa Rica, (26) Mexico (30), Argentina (31), Ecuador (33) and Peru (42) which do well in the Index</w:t>
      </w:r>
      <w:r w:rsidR="00BC7471">
        <w:rPr>
          <w:rFonts w:cstheme="minorHAnsi"/>
          <w:color w:val="000000" w:themeColor="text1"/>
        </w:rPr>
        <w:t xml:space="preserve"> particularly on income security</w:t>
      </w:r>
      <w:r w:rsidRPr="00273D1F">
        <w:rPr>
          <w:rFonts w:cstheme="minorHAnsi"/>
          <w:color w:val="000000" w:themeColor="text1"/>
        </w:rPr>
        <w:t>.</w:t>
      </w:r>
      <w:r w:rsidR="005075CE">
        <w:rPr>
          <w:rFonts w:cstheme="minorHAnsi"/>
          <w:color w:val="000000" w:themeColor="text1"/>
        </w:rPr>
        <w:t xml:space="preserve"> </w:t>
      </w:r>
    </w:p>
    <w:p w:rsidR="001930B0" w:rsidRDefault="001930B0" w:rsidP="004F0D64">
      <w:pPr>
        <w:spacing w:after="0" w:line="240" w:lineRule="auto"/>
        <w:rPr>
          <w:rFonts w:cstheme="minorHAnsi"/>
          <w:color w:val="000000" w:themeColor="text1"/>
        </w:rPr>
      </w:pPr>
    </w:p>
    <w:p w:rsidR="004D0525" w:rsidRDefault="004D0525" w:rsidP="004F0D64">
      <w:pPr>
        <w:spacing w:after="0" w:line="240" w:lineRule="auto"/>
        <w:rPr>
          <w:rFonts w:cstheme="minorHAnsi"/>
          <w:color w:val="000000" w:themeColor="text1"/>
        </w:rPr>
      </w:pPr>
      <w:r>
        <w:rPr>
          <w:rFonts w:cstheme="minorHAnsi"/>
          <w:color w:val="000000" w:themeColor="text1"/>
        </w:rPr>
        <w:t>There are</w:t>
      </w:r>
      <w:r w:rsidR="00046C82">
        <w:rPr>
          <w:rFonts w:cstheme="minorHAnsi"/>
          <w:color w:val="000000" w:themeColor="text1"/>
        </w:rPr>
        <w:t xml:space="preserve"> currently</w:t>
      </w:r>
      <w:r>
        <w:rPr>
          <w:rFonts w:cstheme="minorHAnsi"/>
          <w:color w:val="000000" w:themeColor="text1"/>
        </w:rPr>
        <w:t xml:space="preserve"> 868m people over 60 – nearly 12 per cent of the global popul</w:t>
      </w:r>
      <w:r w:rsidR="00962FA1">
        <w:rPr>
          <w:rFonts w:cstheme="minorHAnsi"/>
          <w:color w:val="000000" w:themeColor="text1"/>
        </w:rPr>
        <w:t>ation. By</w:t>
      </w:r>
      <w:r>
        <w:rPr>
          <w:rFonts w:cstheme="minorHAnsi"/>
          <w:color w:val="000000" w:themeColor="text1"/>
        </w:rPr>
        <w:t xml:space="preserve"> 2050, it’s predicted to rise to 21 per cent, nearly as many people aged 60 or over as those under 15 – 2.</w:t>
      </w:r>
      <w:r w:rsidR="000F20FB">
        <w:rPr>
          <w:rFonts w:cstheme="minorHAnsi"/>
          <w:color w:val="000000" w:themeColor="text1"/>
        </w:rPr>
        <w:t>0</w:t>
      </w:r>
      <w:r>
        <w:rPr>
          <w:rFonts w:cstheme="minorHAnsi"/>
          <w:color w:val="000000" w:themeColor="text1"/>
        </w:rPr>
        <w:t xml:space="preserve">2 billion compared with 2.03 billion. </w:t>
      </w:r>
    </w:p>
    <w:p w:rsidR="004D0525" w:rsidRPr="00273D1F" w:rsidRDefault="004D0525" w:rsidP="004F0D64">
      <w:pPr>
        <w:spacing w:after="0" w:line="240" w:lineRule="auto"/>
        <w:rPr>
          <w:rFonts w:cstheme="minorHAnsi"/>
          <w:color w:val="000000" w:themeColor="text1"/>
        </w:rPr>
      </w:pPr>
    </w:p>
    <w:p w:rsidR="00732CE8" w:rsidRDefault="00732CE8" w:rsidP="004F0D64">
      <w:pPr>
        <w:spacing w:after="0" w:line="240" w:lineRule="auto"/>
        <w:rPr>
          <w:rFonts w:cstheme="minorHAnsi"/>
          <w:color w:val="000000" w:themeColor="text1"/>
        </w:rPr>
      </w:pPr>
      <w:r>
        <w:rPr>
          <w:rFonts w:cstheme="minorHAnsi"/>
          <w:color w:val="000000" w:themeColor="text1"/>
        </w:rPr>
        <w:t xml:space="preserve">The Index tells us that economic growth </w:t>
      </w:r>
      <w:r w:rsidR="000D77D7">
        <w:rPr>
          <w:rFonts w:cstheme="minorHAnsi"/>
          <w:color w:val="000000" w:themeColor="text1"/>
        </w:rPr>
        <w:t xml:space="preserve">alone </w:t>
      </w:r>
      <w:r>
        <w:rPr>
          <w:rFonts w:cstheme="minorHAnsi"/>
          <w:color w:val="000000" w:themeColor="text1"/>
        </w:rPr>
        <w:t>will not improve older people’</w:t>
      </w:r>
      <w:r w:rsidR="000D77D7">
        <w:rPr>
          <w:rFonts w:cstheme="minorHAnsi"/>
          <w:color w:val="000000" w:themeColor="text1"/>
        </w:rPr>
        <w:t>s wellbeing</w:t>
      </w:r>
      <w:r w:rsidR="00144821">
        <w:rPr>
          <w:rFonts w:cstheme="minorHAnsi"/>
          <w:color w:val="000000" w:themeColor="text1"/>
        </w:rPr>
        <w:t xml:space="preserve"> and specific policies need to be put in place to address the implications of ageing.</w:t>
      </w:r>
      <w:r w:rsidR="000D77D7">
        <w:rPr>
          <w:rFonts w:cstheme="minorHAnsi"/>
          <w:color w:val="000000" w:themeColor="text1"/>
        </w:rPr>
        <w:t xml:space="preserve"> </w:t>
      </w:r>
      <w:r w:rsidR="0085726E">
        <w:rPr>
          <w:rFonts w:cstheme="minorHAnsi"/>
          <w:color w:val="000000" w:themeColor="text1"/>
        </w:rPr>
        <w:t xml:space="preserve">More than one third </w:t>
      </w:r>
      <w:r w:rsidR="00246098">
        <w:rPr>
          <w:rFonts w:cstheme="minorHAnsi"/>
          <w:color w:val="000000" w:themeColor="text1"/>
        </w:rPr>
        <w:t>of countries trail</w:t>
      </w:r>
      <w:r w:rsidR="0085726E">
        <w:rPr>
          <w:rFonts w:cstheme="minorHAnsi"/>
          <w:color w:val="000000" w:themeColor="text1"/>
        </w:rPr>
        <w:t xml:space="preserve"> significantly behind</w:t>
      </w:r>
      <w:r w:rsidR="001F2920">
        <w:rPr>
          <w:rFonts w:cstheme="minorHAnsi"/>
          <w:color w:val="000000" w:themeColor="text1"/>
        </w:rPr>
        <w:t xml:space="preserve"> </w:t>
      </w:r>
      <w:r w:rsidR="00A82F99">
        <w:rPr>
          <w:rFonts w:cstheme="minorHAnsi"/>
          <w:color w:val="000000" w:themeColor="text1"/>
        </w:rPr>
        <w:t>the best-performing countrie</w:t>
      </w:r>
      <w:r w:rsidR="00007E68">
        <w:rPr>
          <w:rFonts w:cstheme="minorHAnsi"/>
          <w:color w:val="000000" w:themeColor="text1"/>
        </w:rPr>
        <w:t>s.</w:t>
      </w:r>
    </w:p>
    <w:p w:rsidR="00EB5642" w:rsidRDefault="00EB5642" w:rsidP="004F0D64">
      <w:pPr>
        <w:spacing w:after="0" w:line="240" w:lineRule="auto"/>
        <w:rPr>
          <w:rFonts w:cstheme="minorHAnsi"/>
          <w:color w:val="000000" w:themeColor="text1"/>
        </w:rPr>
      </w:pPr>
    </w:p>
    <w:p w:rsidR="00374DF6" w:rsidRDefault="005075CE" w:rsidP="00374DF6">
      <w:pPr>
        <w:spacing w:after="0" w:line="240" w:lineRule="auto"/>
        <w:rPr>
          <w:rFonts w:cstheme="minorHAnsi"/>
          <w:color w:val="000000" w:themeColor="text1"/>
        </w:rPr>
      </w:pPr>
      <w:r>
        <w:rPr>
          <w:rFonts w:cstheme="minorHAnsi"/>
          <w:color w:val="000000" w:themeColor="text1"/>
        </w:rPr>
        <w:t>The report this year focuses on pension policy and how this is being managed across the globe.</w:t>
      </w:r>
      <w:r w:rsidR="00374DF6" w:rsidRPr="00374DF6">
        <w:t xml:space="preserve"> </w:t>
      </w:r>
      <w:r w:rsidR="002C2442">
        <w:t>O</w:t>
      </w:r>
      <w:r w:rsidR="00374DF6">
        <w:t>nly half the world’s population can expect to receive even a basic pension in old age</w:t>
      </w:r>
      <w:r w:rsidR="009C37C6">
        <w:t xml:space="preserve"> and although p</w:t>
      </w:r>
      <w:r w:rsidR="00374DF6">
        <w:rPr>
          <w:rFonts w:cstheme="minorHAnsi"/>
          <w:color w:val="000000" w:themeColor="text1"/>
        </w:rPr>
        <w:t>olicies supporting people in late</w:t>
      </w:r>
      <w:r w:rsidR="009C37C6">
        <w:rPr>
          <w:rFonts w:cstheme="minorHAnsi"/>
          <w:color w:val="000000" w:themeColor="text1"/>
        </w:rPr>
        <w:t xml:space="preserve">r life exist they </w:t>
      </w:r>
      <w:r w:rsidR="00374DF6">
        <w:rPr>
          <w:rFonts w:cstheme="minorHAnsi"/>
          <w:color w:val="000000" w:themeColor="text1"/>
        </w:rPr>
        <w:t>need to be implemented faster and more systematically.</w:t>
      </w:r>
    </w:p>
    <w:p w:rsidR="002D7758" w:rsidRPr="00545346" w:rsidRDefault="002D7758" w:rsidP="00374DF6">
      <w:pPr>
        <w:spacing w:after="0" w:line="240" w:lineRule="auto"/>
        <w:rPr>
          <w:rFonts w:eastAsia="Times New Roman" w:cstheme="minorHAnsi"/>
          <w:b/>
          <w:color w:val="000000"/>
          <w:lang w:eastAsia="en-GB"/>
        </w:rPr>
      </w:pPr>
    </w:p>
    <w:p w:rsidR="001A2EF1" w:rsidRDefault="001A2EF1" w:rsidP="001A2EF1">
      <w:pPr>
        <w:spacing w:after="0" w:line="240" w:lineRule="auto"/>
        <w:rPr>
          <w:rFonts w:cstheme="minorHAnsi"/>
        </w:rPr>
      </w:pPr>
      <w:r>
        <w:rPr>
          <w:rFonts w:cstheme="minorHAnsi"/>
        </w:rPr>
        <w:t>“</w:t>
      </w:r>
      <w:r w:rsidRPr="00DA2B71">
        <w:rPr>
          <w:rFonts w:cstheme="minorHAnsi"/>
          <w:b/>
        </w:rPr>
        <w:t>The unprecedented rate and speed of population ageing presents policy makers with a challenge</w:t>
      </w:r>
      <w:r>
        <w:rPr>
          <w:rFonts w:cstheme="minorHAnsi"/>
        </w:rPr>
        <w:t>.” said Toby Porter, Chief Executive of HelpAge International. “</w:t>
      </w:r>
      <w:r w:rsidRPr="00DA2B71">
        <w:rPr>
          <w:rFonts w:cstheme="minorHAnsi"/>
          <w:b/>
        </w:rPr>
        <w:t>Only if they act now will they have a chance to meet the needs of their citizens and keep</w:t>
      </w:r>
      <w:r w:rsidR="00DA2B71">
        <w:rPr>
          <w:rFonts w:cstheme="minorHAnsi"/>
          <w:b/>
        </w:rPr>
        <w:t xml:space="preserve"> their</w:t>
      </w:r>
      <w:r w:rsidRPr="00DA2B71">
        <w:rPr>
          <w:rFonts w:cstheme="minorHAnsi"/>
          <w:b/>
        </w:rPr>
        <w:t xml:space="preserve"> economies going</w:t>
      </w:r>
      <w:r>
        <w:rPr>
          <w:rFonts w:cstheme="minorHAnsi"/>
        </w:rPr>
        <w:t>.”</w:t>
      </w:r>
    </w:p>
    <w:p w:rsidR="00727B53" w:rsidRDefault="00727B53" w:rsidP="004F0D64">
      <w:pPr>
        <w:shd w:val="clear" w:color="auto" w:fill="FFFFFF"/>
        <w:spacing w:after="0" w:line="240" w:lineRule="auto"/>
        <w:rPr>
          <w:rFonts w:eastAsia="Times New Roman" w:cstheme="minorHAnsi"/>
          <w:color w:val="000000"/>
        </w:rPr>
      </w:pPr>
    </w:p>
    <w:p w:rsidR="0001643E" w:rsidRPr="00273D1F" w:rsidRDefault="00A23976" w:rsidP="004F0D64">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 xml:space="preserve">Pensions are affordable </w:t>
      </w:r>
    </w:p>
    <w:p w:rsidR="00670F8E" w:rsidRDefault="00022CE0" w:rsidP="004F0D64">
      <w:pPr>
        <w:spacing w:after="0" w:line="240" w:lineRule="auto"/>
        <w:rPr>
          <w:rFonts w:eastAsia="Times New Roman" w:cstheme="minorHAnsi"/>
          <w:color w:val="000000"/>
          <w:lang w:eastAsia="en-GB"/>
        </w:rPr>
      </w:pPr>
      <w:r>
        <w:rPr>
          <w:rFonts w:cstheme="minorHAnsi"/>
        </w:rPr>
        <w:t>Virtually all countries have some kind of pension but over the past two decades there has been an explosion of new tax-financed, non-contributory “social pensions”</w:t>
      </w:r>
      <w:r w:rsidR="00957695">
        <w:rPr>
          <w:rFonts w:cstheme="minorHAnsi"/>
        </w:rPr>
        <w:t>. The</w:t>
      </w:r>
      <w:r w:rsidR="00FC3A20">
        <w:rPr>
          <w:rFonts w:cstheme="minorHAnsi"/>
        </w:rPr>
        <w:t>y</w:t>
      </w:r>
      <w:r w:rsidR="00957695">
        <w:rPr>
          <w:rFonts w:cstheme="minorHAnsi"/>
        </w:rPr>
        <w:t xml:space="preserve"> now exist</w:t>
      </w:r>
      <w:r w:rsidR="00B82261">
        <w:rPr>
          <w:rFonts w:cstheme="minorHAnsi"/>
        </w:rPr>
        <w:t xml:space="preserve"> in more than 100 countries and have the potential to creat</w:t>
      </w:r>
      <w:r w:rsidR="00957695">
        <w:rPr>
          <w:rFonts w:cstheme="minorHAnsi"/>
        </w:rPr>
        <w:t>e</w:t>
      </w:r>
      <w:r w:rsidR="00B82261">
        <w:rPr>
          <w:rFonts w:cstheme="minorHAnsi"/>
        </w:rPr>
        <w:t xml:space="preserve"> a basic regular income for some of the very poorest older people. </w:t>
      </w:r>
      <w:r w:rsidR="00B030E5">
        <w:rPr>
          <w:rFonts w:cstheme="minorHAnsi"/>
        </w:rPr>
        <w:t>Mexico (30)</w:t>
      </w:r>
      <w:r w:rsidR="00967517">
        <w:rPr>
          <w:rFonts w:cstheme="minorHAnsi"/>
        </w:rPr>
        <w:t xml:space="preserve"> and Peru (42) are prime examples of this shift</w:t>
      </w:r>
      <w:r w:rsidR="008B03F2">
        <w:rPr>
          <w:rFonts w:cstheme="minorHAnsi"/>
        </w:rPr>
        <w:t xml:space="preserve"> to social pensions</w:t>
      </w:r>
      <w:r w:rsidR="00967517">
        <w:rPr>
          <w:rFonts w:cstheme="minorHAnsi"/>
        </w:rPr>
        <w:t xml:space="preserve">. The </w:t>
      </w:r>
      <w:r w:rsidR="00967517">
        <w:rPr>
          <w:rFonts w:cstheme="minorHAnsi"/>
        </w:rPr>
        <w:lastRenderedPageBreak/>
        <w:t>contributory pension scheme introduced in Mexico</w:t>
      </w:r>
      <w:r w:rsidR="002A6E17">
        <w:rPr>
          <w:rFonts w:cstheme="minorHAnsi"/>
        </w:rPr>
        <w:t xml:space="preserve"> in 1943 still only covers around a quarter of older Mexicans</w:t>
      </w:r>
      <w:r w:rsidR="00B34640">
        <w:rPr>
          <w:rFonts w:cstheme="minorHAnsi"/>
        </w:rPr>
        <w:t>.</w:t>
      </w:r>
      <w:r w:rsidR="002A6E17">
        <w:rPr>
          <w:rFonts w:cstheme="minorHAnsi"/>
        </w:rPr>
        <w:t xml:space="preserve"> </w:t>
      </w:r>
      <w:r w:rsidR="008B03F2">
        <w:rPr>
          <w:rFonts w:cstheme="minorHAnsi"/>
        </w:rPr>
        <w:t>But t</w:t>
      </w:r>
      <w:r w:rsidR="002A6E17">
        <w:rPr>
          <w:rFonts w:cstheme="minorHAnsi"/>
        </w:rPr>
        <w:t>he rapid expansion of social pensions in the past decade means t</w:t>
      </w:r>
      <w:r w:rsidR="008B03F2">
        <w:rPr>
          <w:rFonts w:cstheme="minorHAnsi"/>
        </w:rPr>
        <w:t>hat nearly nine out of 10 Mexicans</w:t>
      </w:r>
      <w:r w:rsidR="002A6E17">
        <w:rPr>
          <w:rFonts w:cstheme="minorHAnsi"/>
        </w:rPr>
        <w:t xml:space="preserve"> aged 65-plus are now covered.</w:t>
      </w:r>
      <w:r w:rsidR="00670F8E">
        <w:rPr>
          <w:rFonts w:eastAsia="Times New Roman" w:cstheme="minorHAnsi"/>
          <w:color w:val="000000"/>
          <w:lang w:eastAsia="en-GB"/>
        </w:rPr>
        <w:t xml:space="preserve">  </w:t>
      </w:r>
      <w:r w:rsidR="00966032">
        <w:rPr>
          <w:rFonts w:eastAsia="Times New Roman" w:cstheme="minorHAnsi"/>
          <w:color w:val="000000"/>
          <w:lang w:eastAsia="en-GB"/>
        </w:rPr>
        <w:t xml:space="preserve">In Peru, the electoral promise of a pension for everybody over 65 gained </w:t>
      </w:r>
      <w:r w:rsidR="00C72BB4">
        <w:rPr>
          <w:rFonts w:eastAsia="Times New Roman" w:cstheme="minorHAnsi"/>
          <w:color w:val="000000"/>
          <w:lang w:eastAsia="en-GB"/>
        </w:rPr>
        <w:t xml:space="preserve">widespread </w:t>
      </w:r>
      <w:r w:rsidR="00966032">
        <w:rPr>
          <w:rFonts w:eastAsia="Times New Roman" w:cstheme="minorHAnsi"/>
          <w:color w:val="000000"/>
          <w:lang w:eastAsia="en-GB"/>
        </w:rPr>
        <w:t>support despite only 6 per cent of the population being</w:t>
      </w:r>
      <w:r w:rsidR="00C72BB4">
        <w:rPr>
          <w:rFonts w:eastAsia="Times New Roman" w:cstheme="minorHAnsi"/>
          <w:color w:val="000000"/>
          <w:lang w:eastAsia="en-GB"/>
        </w:rPr>
        <w:t xml:space="preserve"> el</w:t>
      </w:r>
      <w:r w:rsidR="00966032">
        <w:rPr>
          <w:rFonts w:eastAsia="Times New Roman" w:cstheme="minorHAnsi"/>
          <w:color w:val="000000"/>
          <w:lang w:eastAsia="en-GB"/>
        </w:rPr>
        <w:t>igible.</w:t>
      </w:r>
    </w:p>
    <w:p w:rsidR="00670F8E" w:rsidRDefault="00670F8E" w:rsidP="004F0D64">
      <w:pPr>
        <w:spacing w:after="0" w:line="240" w:lineRule="auto"/>
        <w:rPr>
          <w:rFonts w:eastAsia="Times New Roman" w:cstheme="minorHAnsi"/>
          <w:color w:val="000000"/>
          <w:lang w:eastAsia="en-GB"/>
        </w:rPr>
      </w:pPr>
    </w:p>
    <w:p w:rsidR="00A25D13" w:rsidRDefault="003B3F96" w:rsidP="004F0D64">
      <w:pPr>
        <w:spacing w:after="0" w:line="240" w:lineRule="auto"/>
        <w:rPr>
          <w:rFonts w:cstheme="minorHAnsi"/>
        </w:rPr>
      </w:pPr>
      <w:r>
        <w:rPr>
          <w:rFonts w:cstheme="minorHAnsi"/>
        </w:rPr>
        <w:t>This</w:t>
      </w:r>
      <w:r w:rsidR="00EB7BF4">
        <w:rPr>
          <w:rFonts w:cstheme="minorHAnsi"/>
        </w:rPr>
        <w:t xml:space="preserve"> reflects a </w:t>
      </w:r>
      <w:r w:rsidR="00957695">
        <w:rPr>
          <w:rFonts w:cstheme="minorHAnsi"/>
        </w:rPr>
        <w:t>recent global trend. China (48)</w:t>
      </w:r>
      <w:r w:rsidR="00EB7BF4">
        <w:rPr>
          <w:rFonts w:cstheme="minorHAnsi"/>
        </w:rPr>
        <w:t xml:space="preserve"> introduced a ru</w:t>
      </w:r>
      <w:r w:rsidR="00957695">
        <w:rPr>
          <w:rFonts w:cstheme="minorHAnsi"/>
        </w:rPr>
        <w:t>r</w:t>
      </w:r>
      <w:r w:rsidR="00EB7BF4">
        <w:rPr>
          <w:rFonts w:cstheme="minorHAnsi"/>
        </w:rPr>
        <w:t>al</w:t>
      </w:r>
      <w:r w:rsidR="00B12AB3">
        <w:rPr>
          <w:rFonts w:cstheme="minorHAnsi"/>
        </w:rPr>
        <w:t xml:space="preserve"> social pension in 2009 reaching</w:t>
      </w:r>
      <w:r w:rsidR="00EB7BF4">
        <w:rPr>
          <w:rFonts w:cstheme="minorHAnsi"/>
        </w:rPr>
        <w:t xml:space="preserve"> 133 million </w:t>
      </w:r>
      <w:r w:rsidR="00BF69D7">
        <w:rPr>
          <w:rFonts w:cstheme="minorHAnsi"/>
        </w:rPr>
        <w:t>more</w:t>
      </w:r>
      <w:r w:rsidR="00B12AB3">
        <w:rPr>
          <w:rFonts w:cstheme="minorHAnsi"/>
        </w:rPr>
        <w:t xml:space="preserve"> people</w:t>
      </w:r>
      <w:r w:rsidR="00BF69D7">
        <w:rPr>
          <w:rFonts w:cstheme="minorHAnsi"/>
        </w:rPr>
        <w:t>,  equivalent to 16 per cent of the global population of people aged 60 plus</w:t>
      </w:r>
      <w:r w:rsidR="00EB7BF4">
        <w:rPr>
          <w:rFonts w:cstheme="minorHAnsi"/>
        </w:rPr>
        <w:t>. Other countries such as Nepal (70) and Thailand (36) have followed a s</w:t>
      </w:r>
      <w:r w:rsidR="00957695">
        <w:rPr>
          <w:rFonts w:cstheme="minorHAnsi"/>
        </w:rPr>
        <w:t xml:space="preserve">imilar route. </w:t>
      </w:r>
      <w:r w:rsidR="004419B1">
        <w:rPr>
          <w:rFonts w:cstheme="minorHAnsi"/>
        </w:rPr>
        <w:t xml:space="preserve"> </w:t>
      </w:r>
    </w:p>
    <w:p w:rsidR="004E3501" w:rsidRDefault="004E3501" w:rsidP="004F0D64">
      <w:pPr>
        <w:spacing w:after="0" w:line="240" w:lineRule="auto"/>
        <w:rPr>
          <w:rFonts w:cstheme="minorHAnsi"/>
        </w:rPr>
      </w:pPr>
    </w:p>
    <w:p w:rsidR="004E3501" w:rsidRPr="00EF1FD9" w:rsidRDefault="00EF1FD9" w:rsidP="004F0D64">
      <w:pPr>
        <w:spacing w:after="0" w:line="240" w:lineRule="auto"/>
        <w:rPr>
          <w:rFonts w:cstheme="minorHAnsi"/>
          <w:b/>
          <w:i/>
        </w:rPr>
      </w:pPr>
      <w:r w:rsidRPr="00EF1FD9">
        <w:rPr>
          <w:rFonts w:cstheme="minorHAnsi"/>
          <w:b/>
          <w:i/>
        </w:rPr>
        <w:t>“</w:t>
      </w:r>
      <w:r w:rsidR="004E3501" w:rsidRPr="00EF1FD9">
        <w:rPr>
          <w:rFonts w:cstheme="minorHAnsi"/>
          <w:b/>
          <w:i/>
        </w:rPr>
        <w:t>Social pensions are a game changer for older people</w:t>
      </w:r>
      <w:r w:rsidRPr="00EF1FD9">
        <w:rPr>
          <w:rFonts w:cstheme="minorHAnsi"/>
          <w:b/>
          <w:i/>
        </w:rPr>
        <w:t>,”</w:t>
      </w:r>
      <w:r>
        <w:rPr>
          <w:rFonts w:cstheme="minorHAnsi"/>
        </w:rPr>
        <w:t xml:space="preserve"> said Porter</w:t>
      </w:r>
      <w:r w:rsidR="004E3501">
        <w:rPr>
          <w:rFonts w:cstheme="minorHAnsi"/>
        </w:rPr>
        <w:t xml:space="preserve">. </w:t>
      </w:r>
      <w:r w:rsidRPr="00EF1FD9">
        <w:rPr>
          <w:rFonts w:cstheme="minorHAnsi"/>
          <w:b/>
          <w:i/>
        </w:rPr>
        <w:t>“</w:t>
      </w:r>
      <w:r w:rsidR="004E3501" w:rsidRPr="00EF1FD9">
        <w:rPr>
          <w:rFonts w:cstheme="minorHAnsi"/>
          <w:b/>
          <w:i/>
        </w:rPr>
        <w:t xml:space="preserve">Rising numbers of older people </w:t>
      </w:r>
      <w:r w:rsidRPr="00EF1FD9">
        <w:rPr>
          <w:rFonts w:cstheme="minorHAnsi"/>
          <w:b/>
          <w:i/>
        </w:rPr>
        <w:t xml:space="preserve">mean governments </w:t>
      </w:r>
      <w:r w:rsidR="003B3F96">
        <w:rPr>
          <w:rFonts w:cstheme="minorHAnsi"/>
          <w:b/>
          <w:i/>
        </w:rPr>
        <w:t>need</w:t>
      </w:r>
      <w:r w:rsidRPr="00EF1FD9">
        <w:rPr>
          <w:rFonts w:cstheme="minorHAnsi"/>
          <w:b/>
          <w:i/>
        </w:rPr>
        <w:t xml:space="preserve"> to </w:t>
      </w:r>
      <w:r w:rsidR="00FD384A">
        <w:rPr>
          <w:rFonts w:cstheme="minorHAnsi"/>
          <w:b/>
          <w:i/>
        </w:rPr>
        <w:t xml:space="preserve">radically </w:t>
      </w:r>
      <w:r w:rsidRPr="00EF1FD9">
        <w:rPr>
          <w:rFonts w:cstheme="minorHAnsi"/>
          <w:b/>
          <w:i/>
        </w:rPr>
        <w:t>re-think their approach</w:t>
      </w:r>
      <w:r w:rsidR="00FD384A">
        <w:rPr>
          <w:rFonts w:cstheme="minorHAnsi"/>
          <w:b/>
          <w:i/>
        </w:rPr>
        <w:t xml:space="preserve"> to later life</w:t>
      </w:r>
      <w:r w:rsidRPr="00EF1FD9">
        <w:rPr>
          <w:rFonts w:cstheme="minorHAnsi"/>
          <w:b/>
          <w:i/>
        </w:rPr>
        <w:t>”.</w:t>
      </w:r>
      <w:r w:rsidR="00FD384A">
        <w:rPr>
          <w:rFonts w:cstheme="minorHAnsi"/>
          <w:b/>
          <w:i/>
        </w:rPr>
        <w:t xml:space="preserve"> </w:t>
      </w:r>
    </w:p>
    <w:p w:rsidR="00BF0BB5" w:rsidRPr="00EF1FD9" w:rsidRDefault="00BF0BB5" w:rsidP="004F0D64">
      <w:pPr>
        <w:spacing w:after="0" w:line="240" w:lineRule="auto"/>
        <w:rPr>
          <w:rFonts w:cstheme="minorHAnsi"/>
          <w:b/>
          <w:i/>
        </w:rPr>
      </w:pPr>
    </w:p>
    <w:p w:rsidR="003B3F96" w:rsidRDefault="00E23A10" w:rsidP="004F0D64">
      <w:pPr>
        <w:shd w:val="clear" w:color="auto" w:fill="FFFFFF"/>
        <w:spacing w:after="0" w:line="240" w:lineRule="auto"/>
        <w:rPr>
          <w:rFonts w:cstheme="minorHAnsi"/>
          <w:b/>
          <w:i/>
        </w:rPr>
      </w:pPr>
      <w:r w:rsidRPr="00C77D9A">
        <w:rPr>
          <w:rFonts w:cstheme="minorHAnsi"/>
        </w:rPr>
        <w:t>The ris</w:t>
      </w:r>
      <w:r w:rsidR="001A655F">
        <w:rPr>
          <w:rFonts w:cstheme="minorHAnsi"/>
        </w:rPr>
        <w:t xml:space="preserve">e of social pensions marks a shift in priorities for pension policy. </w:t>
      </w:r>
      <w:r w:rsidR="00251EFD">
        <w:rPr>
          <w:rFonts w:cstheme="minorHAnsi"/>
        </w:rPr>
        <w:t>Contributor</w:t>
      </w:r>
      <w:r w:rsidR="001A655F">
        <w:rPr>
          <w:rFonts w:cstheme="minorHAnsi"/>
        </w:rPr>
        <w:t>y pensions in low- a</w:t>
      </w:r>
      <w:r w:rsidR="00251EFD">
        <w:rPr>
          <w:rFonts w:cstheme="minorHAnsi"/>
        </w:rPr>
        <w:t xml:space="preserve">nd middle-income countries have </w:t>
      </w:r>
      <w:r w:rsidR="001A655F">
        <w:rPr>
          <w:rFonts w:cstheme="minorHAnsi"/>
        </w:rPr>
        <w:t>not met the needs of large proportions of their ci</w:t>
      </w:r>
      <w:r w:rsidR="00E17F61">
        <w:rPr>
          <w:rFonts w:cstheme="minorHAnsi"/>
        </w:rPr>
        <w:t>tizens</w:t>
      </w:r>
      <w:r w:rsidR="001510AC">
        <w:rPr>
          <w:rFonts w:cstheme="minorHAnsi"/>
        </w:rPr>
        <w:t xml:space="preserve"> because most people work in the informal sector where jobs are </w:t>
      </w:r>
      <w:r w:rsidR="00E17F61">
        <w:rPr>
          <w:rFonts w:cstheme="minorHAnsi"/>
        </w:rPr>
        <w:t xml:space="preserve">precarious and they do </w:t>
      </w:r>
      <w:r w:rsidR="00CB41F5">
        <w:rPr>
          <w:rFonts w:cstheme="minorHAnsi"/>
        </w:rPr>
        <w:t xml:space="preserve">not </w:t>
      </w:r>
      <w:r w:rsidR="00E17F61">
        <w:rPr>
          <w:rFonts w:cstheme="minorHAnsi"/>
        </w:rPr>
        <w:t>have access to formal pension</w:t>
      </w:r>
      <w:r w:rsidR="001510AC">
        <w:rPr>
          <w:rFonts w:cstheme="minorHAnsi"/>
        </w:rPr>
        <w:t xml:space="preserve"> schem</w:t>
      </w:r>
      <w:r w:rsidR="00E17F61">
        <w:rPr>
          <w:rFonts w:cstheme="minorHAnsi"/>
        </w:rPr>
        <w:t>e</w:t>
      </w:r>
      <w:r w:rsidR="001510AC">
        <w:rPr>
          <w:rFonts w:cstheme="minorHAnsi"/>
        </w:rPr>
        <w:t>s</w:t>
      </w:r>
      <w:r w:rsidR="001510AC" w:rsidRPr="00F51E80">
        <w:rPr>
          <w:rFonts w:cstheme="minorHAnsi"/>
          <w:b/>
          <w:i/>
        </w:rPr>
        <w:t xml:space="preserve">. </w:t>
      </w:r>
    </w:p>
    <w:p w:rsidR="003B3F96" w:rsidRDefault="003B3F96" w:rsidP="004F0D64">
      <w:pPr>
        <w:shd w:val="clear" w:color="auto" w:fill="FFFFFF"/>
        <w:spacing w:after="0" w:line="240" w:lineRule="auto"/>
        <w:rPr>
          <w:rFonts w:cstheme="minorHAnsi"/>
          <w:b/>
          <w:i/>
        </w:rPr>
      </w:pPr>
    </w:p>
    <w:p w:rsidR="003D0C57" w:rsidRDefault="003149E5" w:rsidP="004F0D64">
      <w:pPr>
        <w:shd w:val="clear" w:color="auto" w:fill="FFFFFF"/>
        <w:spacing w:after="0" w:line="240" w:lineRule="auto"/>
        <w:rPr>
          <w:rFonts w:cstheme="minorHAnsi"/>
        </w:rPr>
      </w:pPr>
      <w:r w:rsidRPr="00F51E80">
        <w:rPr>
          <w:rFonts w:cstheme="minorHAnsi"/>
          <w:b/>
          <w:i/>
        </w:rPr>
        <w:t>“</w:t>
      </w:r>
      <w:r w:rsidR="001510AC" w:rsidRPr="00F51E80">
        <w:rPr>
          <w:rFonts w:cstheme="minorHAnsi"/>
          <w:b/>
          <w:i/>
        </w:rPr>
        <w:t>Income</w:t>
      </w:r>
      <w:r w:rsidR="00E17F61" w:rsidRPr="00F51E80">
        <w:rPr>
          <w:rFonts w:cstheme="minorHAnsi"/>
          <w:b/>
          <w:i/>
        </w:rPr>
        <w:t>s</w:t>
      </w:r>
      <w:r w:rsidR="001510AC" w:rsidRPr="00F51E80">
        <w:rPr>
          <w:rFonts w:cstheme="minorHAnsi"/>
          <w:b/>
          <w:i/>
        </w:rPr>
        <w:t xml:space="preserve"> are of</w:t>
      </w:r>
      <w:r w:rsidR="00D3130F" w:rsidRPr="00F51E80">
        <w:rPr>
          <w:rFonts w:cstheme="minorHAnsi"/>
          <w:b/>
          <w:i/>
        </w:rPr>
        <w:t>ten too low to save for old age, which is why there’s such a</w:t>
      </w:r>
      <w:r w:rsidR="00131974" w:rsidRPr="00F51E80">
        <w:rPr>
          <w:rFonts w:cstheme="minorHAnsi"/>
          <w:b/>
          <w:i/>
        </w:rPr>
        <w:t xml:space="preserve"> ne</w:t>
      </w:r>
      <w:r w:rsidR="007D7AA2">
        <w:rPr>
          <w:rFonts w:cstheme="minorHAnsi"/>
          <w:b/>
          <w:i/>
        </w:rPr>
        <w:t>ed for a basic social pension</w:t>
      </w:r>
      <w:r w:rsidR="00E349C4">
        <w:rPr>
          <w:rFonts w:cstheme="minorHAnsi"/>
          <w:b/>
          <w:i/>
        </w:rPr>
        <w:t xml:space="preserve"> now</w:t>
      </w:r>
      <w:r w:rsidR="00D3130F" w:rsidRPr="00F51E80">
        <w:rPr>
          <w:rFonts w:cstheme="minorHAnsi"/>
          <w:b/>
          <w:i/>
        </w:rPr>
        <w:t xml:space="preserve">,” </w:t>
      </w:r>
      <w:r w:rsidR="00D3130F">
        <w:rPr>
          <w:rFonts w:cstheme="minorHAnsi"/>
        </w:rPr>
        <w:t xml:space="preserve">said Porter. </w:t>
      </w:r>
      <w:r w:rsidR="001510AC">
        <w:rPr>
          <w:rFonts w:cstheme="minorHAnsi"/>
        </w:rPr>
        <w:t xml:space="preserve">  </w:t>
      </w:r>
    </w:p>
    <w:p w:rsidR="005738CF" w:rsidRDefault="005738CF" w:rsidP="005738CF">
      <w:pPr>
        <w:shd w:val="clear" w:color="auto" w:fill="FFFFFF"/>
        <w:spacing w:after="0" w:line="240" w:lineRule="auto"/>
        <w:rPr>
          <w:rFonts w:cstheme="minorHAnsi"/>
          <w:b/>
        </w:rPr>
      </w:pPr>
    </w:p>
    <w:p w:rsidR="005738CF" w:rsidRDefault="005738CF" w:rsidP="005738CF">
      <w:pPr>
        <w:shd w:val="clear" w:color="auto" w:fill="FFFFFF"/>
        <w:spacing w:after="0" w:line="240" w:lineRule="auto"/>
        <w:rPr>
          <w:rFonts w:cstheme="minorHAnsi"/>
        </w:rPr>
      </w:pPr>
      <w:r>
        <w:rPr>
          <w:rFonts w:cstheme="minorHAnsi"/>
        </w:rPr>
        <w:t>Governments need to decide their priorities but the cost is much less than ofte</w:t>
      </w:r>
      <w:r w:rsidRPr="00DB581E">
        <w:rPr>
          <w:rFonts w:cstheme="minorHAnsi"/>
        </w:rPr>
        <w:t>n thought.</w:t>
      </w:r>
      <w:r>
        <w:rPr>
          <w:rFonts w:cstheme="minorHAnsi"/>
        </w:rPr>
        <w:t xml:space="preserve"> Research in 50 low and middle-income countries found that the cost of a universal pension for all people over 65 at a level equal to 20 per cent of average income would range from 0.4 per cent of GDP in Burkina Faso to 1.8 per cent in China. Calculations of future costs found that, despite rapidly ageing populations, most countries could keep costs stable as a percentage of GDP while indexing pension levels to keep pace with the cost of living.</w:t>
      </w:r>
    </w:p>
    <w:p w:rsidR="00BF0BB5" w:rsidRPr="004F0D64" w:rsidRDefault="00BF0BB5" w:rsidP="004F0D64">
      <w:pPr>
        <w:shd w:val="clear" w:color="auto" w:fill="FFFFFF"/>
        <w:spacing w:after="0" w:line="240" w:lineRule="auto"/>
        <w:rPr>
          <w:rFonts w:cstheme="minorHAnsi"/>
        </w:rPr>
      </w:pPr>
    </w:p>
    <w:p w:rsidR="003D0C57" w:rsidRDefault="003D0C57" w:rsidP="004F0D64">
      <w:pPr>
        <w:shd w:val="clear" w:color="auto" w:fill="FFFFFF"/>
        <w:spacing w:after="0" w:line="240" w:lineRule="auto"/>
        <w:rPr>
          <w:rFonts w:cstheme="minorHAnsi"/>
          <w:b/>
        </w:rPr>
      </w:pPr>
      <w:r w:rsidRPr="003D0C57">
        <w:rPr>
          <w:rFonts w:cstheme="minorHAnsi"/>
          <w:b/>
        </w:rPr>
        <w:t>Tackling inequality</w:t>
      </w:r>
    </w:p>
    <w:p w:rsidR="00DE55E1" w:rsidRDefault="003D0C57" w:rsidP="004F0D64">
      <w:pPr>
        <w:shd w:val="clear" w:color="auto" w:fill="FFFFFF"/>
        <w:spacing w:after="0" w:line="240" w:lineRule="auto"/>
        <w:rPr>
          <w:rFonts w:cstheme="minorHAnsi"/>
        </w:rPr>
      </w:pPr>
      <w:r w:rsidRPr="003D0C57">
        <w:rPr>
          <w:rFonts w:cstheme="minorHAnsi"/>
        </w:rPr>
        <w:t>Social pensions are helping to tackle inequality and support growth.</w:t>
      </w:r>
      <w:r w:rsidR="00DE55E1">
        <w:rPr>
          <w:rFonts w:cstheme="minorHAnsi"/>
        </w:rPr>
        <w:t xml:space="preserve"> </w:t>
      </w:r>
    </w:p>
    <w:p w:rsidR="00DE55E1" w:rsidRDefault="00DE55E1" w:rsidP="004F0D64">
      <w:pPr>
        <w:shd w:val="clear" w:color="auto" w:fill="FFFFFF"/>
        <w:spacing w:after="0" w:line="240" w:lineRule="auto"/>
        <w:rPr>
          <w:rFonts w:cstheme="minorHAnsi"/>
          <w:b/>
          <w:i/>
        </w:rPr>
      </w:pPr>
    </w:p>
    <w:p w:rsidR="00DE55E1" w:rsidRDefault="00DE55E1" w:rsidP="004F0D64">
      <w:pPr>
        <w:shd w:val="clear" w:color="auto" w:fill="FFFFFF"/>
        <w:spacing w:after="0" w:line="240" w:lineRule="auto"/>
        <w:rPr>
          <w:rFonts w:cstheme="minorHAnsi"/>
        </w:rPr>
      </w:pPr>
      <w:r w:rsidRPr="00DE55E1">
        <w:rPr>
          <w:rFonts w:cstheme="minorHAnsi"/>
          <w:b/>
          <w:i/>
        </w:rPr>
        <w:t>“</w:t>
      </w:r>
      <w:r w:rsidR="002B4E04" w:rsidRPr="00DE55E1">
        <w:rPr>
          <w:rFonts w:cstheme="minorHAnsi"/>
          <w:b/>
          <w:i/>
        </w:rPr>
        <w:t>In most European Union countries, pensions systems as a whole do more to reduce inequality than all other parts of the tax or benefit system combined</w:t>
      </w:r>
      <w:r w:rsidRPr="00DE55E1">
        <w:rPr>
          <w:rFonts w:cstheme="minorHAnsi"/>
          <w:b/>
          <w:i/>
        </w:rPr>
        <w:t>,”</w:t>
      </w:r>
      <w:r>
        <w:rPr>
          <w:rFonts w:cstheme="minorHAnsi"/>
        </w:rPr>
        <w:t xml:space="preserve"> said Porter</w:t>
      </w:r>
      <w:r w:rsidR="002B4E04">
        <w:rPr>
          <w:rFonts w:cstheme="minorHAnsi"/>
        </w:rPr>
        <w:t xml:space="preserve">. </w:t>
      </w:r>
    </w:p>
    <w:p w:rsidR="00DE55E1" w:rsidRDefault="00DE55E1" w:rsidP="004F0D64">
      <w:pPr>
        <w:shd w:val="clear" w:color="auto" w:fill="FFFFFF"/>
        <w:spacing w:after="0" w:line="240" w:lineRule="auto"/>
        <w:rPr>
          <w:rFonts w:cstheme="minorHAnsi"/>
        </w:rPr>
      </w:pPr>
    </w:p>
    <w:p w:rsidR="003D0C57" w:rsidRPr="003D0C57" w:rsidRDefault="002B4E04" w:rsidP="004F0D64">
      <w:pPr>
        <w:shd w:val="clear" w:color="auto" w:fill="FFFFFF"/>
        <w:spacing w:after="0" w:line="240" w:lineRule="auto"/>
        <w:rPr>
          <w:rFonts w:cstheme="minorHAnsi"/>
        </w:rPr>
      </w:pPr>
      <w:r>
        <w:rPr>
          <w:rFonts w:cstheme="minorHAnsi"/>
        </w:rPr>
        <w:t>They can also contribute to reducing poverty by increasing the amount families have to spend. In low-income countries this can have the same results. In Bolivia, the universal Dignity Pension for everyone from the age of 60 has led to dramatic increases in school enrolment and falls in child labour in households with an older person.</w:t>
      </w:r>
    </w:p>
    <w:p w:rsidR="00E10652" w:rsidRPr="00971F8B" w:rsidRDefault="00DB581E" w:rsidP="00396CF9">
      <w:pPr>
        <w:shd w:val="clear" w:color="auto" w:fill="FFFFFF"/>
        <w:spacing w:after="0" w:line="240" w:lineRule="auto"/>
        <w:rPr>
          <w:rFonts w:cstheme="minorHAnsi"/>
          <w:b/>
          <w:i/>
          <w:color w:val="000000" w:themeColor="text1"/>
        </w:rPr>
      </w:pPr>
      <w:r w:rsidRPr="00F51E80">
        <w:rPr>
          <w:rFonts w:cstheme="minorHAnsi"/>
          <w:b/>
        </w:rPr>
        <w:t xml:space="preserve"> </w:t>
      </w:r>
    </w:p>
    <w:p w:rsidR="00E10652" w:rsidRDefault="00E10652" w:rsidP="00E10652">
      <w:pPr>
        <w:spacing w:after="0" w:line="240" w:lineRule="auto"/>
        <w:rPr>
          <w:rFonts w:cstheme="minorHAnsi"/>
          <w:b/>
          <w:i/>
          <w:color w:val="000000" w:themeColor="text1"/>
        </w:rPr>
      </w:pPr>
      <w:r w:rsidRPr="00971F8B">
        <w:rPr>
          <w:rFonts w:cstheme="minorHAnsi"/>
          <w:b/>
          <w:i/>
          <w:color w:val="000000" w:themeColor="text1"/>
        </w:rPr>
        <w:t>“People do not stop developing when they reach sixty or seventy or eighty,”</w:t>
      </w:r>
      <w:r>
        <w:rPr>
          <w:rFonts w:cstheme="minorHAnsi"/>
          <w:color w:val="000000" w:themeColor="text1"/>
        </w:rPr>
        <w:t xml:space="preserve"> said </w:t>
      </w:r>
      <w:r w:rsidRPr="00F51E80">
        <w:rPr>
          <w:rFonts w:cstheme="minorHAnsi"/>
          <w:bCs/>
          <w:iCs/>
          <w:color w:val="000000"/>
        </w:rPr>
        <w:t>Prof</w:t>
      </w:r>
      <w:r w:rsidR="00B0328B">
        <w:rPr>
          <w:rFonts w:cstheme="minorHAnsi"/>
          <w:bCs/>
          <w:iCs/>
          <w:color w:val="000000"/>
        </w:rPr>
        <w:t xml:space="preserve">essor Sir Richard Jolly, </w:t>
      </w:r>
      <w:r w:rsidR="007D7AA2">
        <w:rPr>
          <w:rFonts w:cstheme="minorHAnsi"/>
          <w:bCs/>
          <w:iCs/>
          <w:color w:val="000000"/>
        </w:rPr>
        <w:t xml:space="preserve">advisor to the Index as well as </w:t>
      </w:r>
      <w:r w:rsidR="00B0328B">
        <w:rPr>
          <w:rFonts w:cstheme="minorHAnsi"/>
          <w:bCs/>
          <w:iCs/>
          <w:color w:val="000000"/>
        </w:rPr>
        <w:t>architect</w:t>
      </w:r>
      <w:r w:rsidRPr="00F51E80">
        <w:rPr>
          <w:rFonts w:cstheme="minorHAnsi"/>
          <w:bCs/>
          <w:iCs/>
          <w:color w:val="000000"/>
        </w:rPr>
        <w:t xml:space="preserve"> of the UNDP Human Development Index.</w:t>
      </w:r>
      <w:r>
        <w:rPr>
          <w:rFonts w:cstheme="minorHAnsi"/>
          <w:b/>
          <w:bCs/>
          <w:iCs/>
          <w:color w:val="000000"/>
        </w:rPr>
        <w:t xml:space="preserve"> </w:t>
      </w:r>
      <w:r w:rsidRPr="00971F8B">
        <w:rPr>
          <w:rFonts w:cstheme="minorHAnsi"/>
          <w:b/>
          <w:bCs/>
          <w:i/>
          <w:iCs/>
          <w:color w:val="000000"/>
        </w:rPr>
        <w:t>“</w:t>
      </w:r>
      <w:r w:rsidRPr="00971F8B">
        <w:rPr>
          <w:rFonts w:cstheme="minorHAnsi"/>
          <w:b/>
          <w:i/>
          <w:color w:val="000000" w:themeColor="text1"/>
        </w:rPr>
        <w:t xml:space="preserve">Our older years should be as much a time to expand our horizons as our earlier years. </w:t>
      </w:r>
    </w:p>
    <w:p w:rsidR="00E10652" w:rsidRPr="00971F8B" w:rsidRDefault="00E10652" w:rsidP="00E10652">
      <w:pPr>
        <w:spacing w:after="0" w:line="240" w:lineRule="auto"/>
        <w:rPr>
          <w:rFonts w:cstheme="minorHAnsi"/>
          <w:b/>
          <w:i/>
          <w:color w:val="000000" w:themeColor="text1"/>
        </w:rPr>
      </w:pPr>
    </w:p>
    <w:p w:rsidR="00E10652" w:rsidRPr="00153283" w:rsidRDefault="00E10652" w:rsidP="00E10652">
      <w:pPr>
        <w:spacing w:after="0" w:line="240" w:lineRule="auto"/>
        <w:rPr>
          <w:rFonts w:cstheme="minorHAnsi"/>
          <w:b/>
          <w:i/>
          <w:color w:val="000000" w:themeColor="text1"/>
        </w:rPr>
      </w:pPr>
      <w:r w:rsidRPr="00153283">
        <w:rPr>
          <w:rFonts w:cstheme="minorHAnsi"/>
          <w:b/>
          <w:i/>
          <w:color w:val="000000" w:themeColor="text1"/>
        </w:rPr>
        <w:t>“The new post-2015 goals for sustaina</w:t>
      </w:r>
      <w:r w:rsidR="005A128C">
        <w:rPr>
          <w:rFonts w:cstheme="minorHAnsi"/>
          <w:b/>
          <w:i/>
          <w:color w:val="000000" w:themeColor="text1"/>
        </w:rPr>
        <w:t>ble development now need to pay</w:t>
      </w:r>
      <w:r w:rsidRPr="00153283">
        <w:rPr>
          <w:rFonts w:cstheme="minorHAnsi"/>
          <w:b/>
          <w:i/>
          <w:color w:val="000000" w:themeColor="text1"/>
        </w:rPr>
        <w:t xml:space="preserve"> attention to advances among the different age groups, including older people.” </w:t>
      </w:r>
    </w:p>
    <w:p w:rsidR="00E10652" w:rsidRDefault="00E10652" w:rsidP="00E10652">
      <w:pPr>
        <w:shd w:val="clear" w:color="auto" w:fill="FFFFFF"/>
        <w:spacing w:after="0" w:line="240" w:lineRule="auto"/>
        <w:rPr>
          <w:rFonts w:cstheme="minorHAnsi"/>
          <w:b/>
        </w:rPr>
      </w:pPr>
    </w:p>
    <w:p w:rsidR="007A3CA3" w:rsidRDefault="005A128C" w:rsidP="00E10652">
      <w:pPr>
        <w:shd w:val="clear" w:color="auto" w:fill="FFFFFF"/>
        <w:spacing w:after="0" w:line="240" w:lineRule="auto"/>
        <w:rPr>
          <w:rFonts w:cstheme="minorHAnsi"/>
          <w:b/>
        </w:rPr>
      </w:pPr>
      <w:r>
        <w:rPr>
          <w:rFonts w:cstheme="minorHAnsi"/>
          <w:b/>
        </w:rPr>
        <w:t>Ageing around the world</w:t>
      </w:r>
    </w:p>
    <w:p w:rsidR="00C03A2F" w:rsidRDefault="00C03A2F" w:rsidP="00C03A2F">
      <w:pPr>
        <w:spacing w:line="240" w:lineRule="auto"/>
        <w:rPr>
          <w:rFonts w:eastAsia="Times New Roman" w:cstheme="minorHAnsi"/>
          <w:color w:val="000000"/>
          <w:lang w:eastAsia="en-GB"/>
        </w:rPr>
      </w:pPr>
      <w:r>
        <w:rPr>
          <w:rFonts w:eastAsia="Times New Roman" w:cstheme="minorHAnsi"/>
          <w:color w:val="000000"/>
          <w:lang w:eastAsia="en-GB"/>
        </w:rPr>
        <w:t xml:space="preserve">Population ageing is happening in all regions. </w:t>
      </w:r>
      <w:r w:rsidR="00847835">
        <w:rPr>
          <w:rFonts w:eastAsia="Times New Roman" w:cstheme="minorHAnsi"/>
          <w:color w:val="000000"/>
          <w:lang w:eastAsia="en-GB"/>
        </w:rPr>
        <w:t>On average, people can expect to live 16 more years at age 60 but there is considerable variation in</w:t>
      </w:r>
      <w:r w:rsidR="00E54884">
        <w:rPr>
          <w:rFonts w:eastAsia="Times New Roman" w:cstheme="minorHAnsi"/>
          <w:color w:val="000000"/>
          <w:lang w:eastAsia="en-GB"/>
        </w:rPr>
        <w:t xml:space="preserve"> the number of years a person of</w:t>
      </w:r>
      <w:r w:rsidR="00847835">
        <w:rPr>
          <w:rFonts w:eastAsia="Times New Roman" w:cstheme="minorHAnsi"/>
          <w:color w:val="000000"/>
          <w:lang w:eastAsia="en-GB"/>
        </w:rPr>
        <w:t xml:space="preserve"> 60 can expect to live and the number of years they can expect to live in good health. </w:t>
      </w:r>
      <w:r>
        <w:rPr>
          <w:rFonts w:eastAsia="Times New Roman" w:cstheme="minorHAnsi"/>
          <w:color w:val="000000"/>
          <w:lang w:eastAsia="en-GB"/>
        </w:rPr>
        <w:t xml:space="preserve">Already two-thirds of the world’s over-60s live in low- and middle-income countries and this will rise to four-fifths by 2050. The </w:t>
      </w:r>
      <w:r>
        <w:rPr>
          <w:rFonts w:eastAsia="Times New Roman" w:cstheme="minorHAnsi"/>
          <w:color w:val="000000"/>
          <w:lang w:eastAsia="en-GB"/>
        </w:rPr>
        <w:lastRenderedPageBreak/>
        <w:t xml:space="preserve">proportion of over-80s is </w:t>
      </w:r>
      <w:r w:rsidRPr="000E359C">
        <w:rPr>
          <w:rFonts w:eastAsia="Times New Roman" w:cstheme="minorHAnsi"/>
          <w:color w:val="000000"/>
          <w:lang w:eastAsia="en-GB"/>
        </w:rPr>
        <w:t>growing</w:t>
      </w:r>
      <w:r>
        <w:rPr>
          <w:rFonts w:eastAsia="Times New Roman" w:cstheme="minorHAnsi"/>
          <w:color w:val="000000"/>
          <w:lang w:eastAsia="en-GB"/>
        </w:rPr>
        <w:t xml:space="preserve"> fastest – projected to rise from 2 per cent now to 4 per cent of the global population by 2050. At least 62 per cent of those are currently women.  </w:t>
      </w:r>
      <w:r w:rsidRPr="005B772C">
        <w:rPr>
          <w:rFonts w:eastAsia="Times New Roman" w:cstheme="minorHAnsi"/>
          <w:color w:val="000000"/>
          <w:lang w:eastAsia="en-GB"/>
        </w:rPr>
        <w:t xml:space="preserve"> </w:t>
      </w:r>
    </w:p>
    <w:p w:rsidR="00C03A2F" w:rsidRPr="00CA3C14" w:rsidRDefault="00C03A2F" w:rsidP="00C03A2F">
      <w:pPr>
        <w:spacing w:line="240" w:lineRule="auto"/>
        <w:rPr>
          <w:rFonts w:eastAsia="Times New Roman" w:cstheme="minorHAnsi"/>
          <w:b/>
          <w:color w:val="000000"/>
          <w:lang w:eastAsia="en-GB"/>
        </w:rPr>
      </w:pPr>
      <w:r>
        <w:rPr>
          <w:rFonts w:eastAsia="Times New Roman" w:cstheme="minorHAnsi"/>
          <w:color w:val="000000"/>
          <w:lang w:eastAsia="en-GB"/>
        </w:rPr>
        <w:t>P</w:t>
      </w:r>
      <w:r w:rsidRPr="001475A0">
        <w:rPr>
          <w:rFonts w:eastAsia="Times New Roman" w:cstheme="minorHAnsi"/>
          <w:color w:val="000000"/>
          <w:lang w:eastAsia="en-GB"/>
        </w:rPr>
        <w:t>rojections for the future show that</w:t>
      </w:r>
      <w:r>
        <w:rPr>
          <w:rFonts w:eastAsia="Times New Roman" w:cstheme="minorHAnsi"/>
          <w:b/>
          <w:color w:val="000000"/>
          <w:lang w:eastAsia="en-GB"/>
        </w:rPr>
        <w:t xml:space="preserve"> </w:t>
      </w:r>
      <w:r>
        <w:t>In Eastern Europe, 18 out of 20 countries included in the Index are predicted to have 30 per cent or more of their population aged 60-plus by 2050. In contrast, Mauritius is the only country in Africa to come near that at 29 per cent, the next closest is South Africa at 15 per cent.</w:t>
      </w:r>
      <w:r w:rsidRPr="00D0421E">
        <w:t xml:space="preserve"> </w:t>
      </w:r>
      <w:r>
        <w:t>In total, forty countries in the Index will have 30 per cent or more of their populations aged 60 or over by 2050.</w:t>
      </w:r>
    </w:p>
    <w:p w:rsidR="00E10652" w:rsidRDefault="00E10652" w:rsidP="00E10652">
      <w:pPr>
        <w:shd w:val="clear" w:color="auto" w:fill="FFFFFF"/>
        <w:spacing w:after="0" w:line="240" w:lineRule="auto"/>
        <w:rPr>
          <w:rFonts w:cstheme="minorHAnsi"/>
          <w:b/>
        </w:rPr>
      </w:pPr>
      <w:r>
        <w:rPr>
          <w:rFonts w:cstheme="minorHAnsi"/>
          <w:b/>
        </w:rPr>
        <w:t>Missing vital statistics</w:t>
      </w:r>
    </w:p>
    <w:p w:rsidR="00E10652" w:rsidRDefault="00E10652" w:rsidP="00E10652">
      <w:pPr>
        <w:shd w:val="clear" w:color="auto" w:fill="FFFFFF"/>
        <w:spacing w:after="0" w:line="240" w:lineRule="auto"/>
        <w:rPr>
          <w:rFonts w:cstheme="minorHAnsi"/>
        </w:rPr>
      </w:pPr>
      <w:r w:rsidRPr="004468F2">
        <w:rPr>
          <w:rFonts w:cstheme="minorHAnsi"/>
        </w:rPr>
        <w:t xml:space="preserve">Sufficient data was </w:t>
      </w:r>
      <w:r>
        <w:rPr>
          <w:rFonts w:cstheme="minorHAnsi"/>
        </w:rPr>
        <w:t>only available for 96 countries</w:t>
      </w:r>
      <w:r w:rsidRPr="004468F2">
        <w:rPr>
          <w:rFonts w:cstheme="minorHAnsi"/>
        </w:rPr>
        <w:t>, resulting in many countries not being included.</w:t>
      </w:r>
    </w:p>
    <w:p w:rsidR="00E10652" w:rsidRDefault="00E10652" w:rsidP="00E10652">
      <w:pPr>
        <w:shd w:val="clear" w:color="auto" w:fill="FFFFFF"/>
        <w:spacing w:after="0" w:line="240" w:lineRule="auto"/>
        <w:rPr>
          <w:rFonts w:cstheme="minorHAnsi"/>
        </w:rPr>
      </w:pPr>
      <w:r>
        <w:rPr>
          <w:rFonts w:cstheme="minorHAnsi"/>
        </w:rPr>
        <w:t>Country report cards have been prepared for 195 countries displaying data where it is available.  Lack of data calls into question a government’s ability to plan effectively for the future of increasingly ageing populations. More needs to be done in this area.</w:t>
      </w:r>
    </w:p>
    <w:p w:rsidR="00FD3904" w:rsidRPr="003F4A7C" w:rsidRDefault="00FD3904" w:rsidP="004F0D64">
      <w:pPr>
        <w:spacing w:after="0" w:line="240" w:lineRule="auto"/>
        <w:rPr>
          <w:rFonts w:cstheme="minorHAnsi"/>
          <w:color w:val="000000" w:themeColor="text1"/>
        </w:rPr>
      </w:pPr>
    </w:p>
    <w:p w:rsidR="00F148C1" w:rsidRPr="00617750" w:rsidRDefault="009861AD" w:rsidP="004F0D64">
      <w:pPr>
        <w:spacing w:after="0" w:line="240" w:lineRule="auto"/>
        <w:rPr>
          <w:rFonts w:cstheme="minorHAnsi"/>
          <w:color w:val="000000" w:themeColor="text1"/>
        </w:rPr>
      </w:pPr>
      <w:r w:rsidRPr="00B367C5">
        <w:rPr>
          <w:rFonts w:cstheme="minorHAnsi"/>
          <w:b/>
          <w:i/>
          <w:color w:val="000000" w:themeColor="text1"/>
        </w:rPr>
        <w:t xml:space="preserve"> “</w:t>
      </w:r>
      <w:r>
        <w:rPr>
          <w:rFonts w:cstheme="minorHAnsi"/>
          <w:b/>
          <w:i/>
          <w:color w:val="000000" w:themeColor="text1"/>
        </w:rPr>
        <w:t>T</w:t>
      </w:r>
      <w:r w:rsidRPr="00B367C5">
        <w:rPr>
          <w:rFonts w:cstheme="minorHAnsi"/>
          <w:b/>
          <w:i/>
          <w:color w:val="000000" w:themeColor="text1"/>
        </w:rPr>
        <w:t>he work underlying the Index is already helping many individual governments to improve the available data and ensure that it l</w:t>
      </w:r>
      <w:r>
        <w:rPr>
          <w:rFonts w:cstheme="minorHAnsi"/>
          <w:b/>
          <w:i/>
          <w:color w:val="000000" w:themeColor="text1"/>
        </w:rPr>
        <w:t>eads to better policy decisions,</w:t>
      </w:r>
      <w:r w:rsidRPr="00B367C5">
        <w:rPr>
          <w:rFonts w:cstheme="minorHAnsi"/>
          <w:b/>
          <w:i/>
          <w:color w:val="000000" w:themeColor="text1"/>
        </w:rPr>
        <w:t>”</w:t>
      </w:r>
      <w:r>
        <w:rPr>
          <w:rFonts w:cstheme="minorHAnsi"/>
          <w:b/>
          <w:i/>
          <w:color w:val="000000" w:themeColor="text1"/>
        </w:rPr>
        <w:t xml:space="preserve"> </w:t>
      </w:r>
      <w:r w:rsidR="00F43293">
        <w:rPr>
          <w:rFonts w:cstheme="minorHAnsi"/>
          <w:color w:val="000000" w:themeColor="text1"/>
        </w:rPr>
        <w:t xml:space="preserve">said </w:t>
      </w:r>
      <w:r w:rsidR="00F43293" w:rsidRPr="00617750">
        <w:rPr>
          <w:rFonts w:cstheme="minorHAnsi"/>
        </w:rPr>
        <w:t>Professor Asghar Zaidi, Centre for research on Age</w:t>
      </w:r>
      <w:r w:rsidR="00F148C1" w:rsidRPr="00617750">
        <w:rPr>
          <w:rFonts w:cstheme="minorHAnsi"/>
        </w:rPr>
        <w:t>ing,</w:t>
      </w:r>
      <w:r w:rsidR="00533AB0">
        <w:rPr>
          <w:rFonts w:cstheme="minorHAnsi"/>
        </w:rPr>
        <w:t xml:space="preserve"> University of Southampton, </w:t>
      </w:r>
      <w:r w:rsidR="00F43293" w:rsidRPr="00617750">
        <w:rPr>
          <w:rFonts w:cstheme="minorHAnsi"/>
        </w:rPr>
        <w:t>academic partner i</w:t>
      </w:r>
      <w:r w:rsidR="00F148C1" w:rsidRPr="00617750">
        <w:rPr>
          <w:rFonts w:cstheme="minorHAnsi"/>
        </w:rPr>
        <w:t>n the construction of the Index</w:t>
      </w:r>
      <w:r w:rsidR="00F43293" w:rsidRPr="00617750">
        <w:rPr>
          <w:rFonts w:cstheme="minorHAnsi"/>
        </w:rPr>
        <w:t xml:space="preserve">. </w:t>
      </w:r>
      <w:r w:rsidR="00FD3904" w:rsidRPr="00617750">
        <w:rPr>
          <w:rFonts w:cstheme="minorHAnsi"/>
          <w:color w:val="000000" w:themeColor="text1"/>
        </w:rPr>
        <w:t xml:space="preserve"> </w:t>
      </w:r>
    </w:p>
    <w:p w:rsidR="00F148C1" w:rsidRPr="00B367C5" w:rsidRDefault="00F148C1" w:rsidP="004F0D64">
      <w:pPr>
        <w:spacing w:after="0" w:line="240" w:lineRule="auto"/>
        <w:rPr>
          <w:rFonts w:cstheme="minorHAnsi"/>
          <w:b/>
          <w:i/>
          <w:color w:val="000000" w:themeColor="text1"/>
        </w:rPr>
      </w:pPr>
    </w:p>
    <w:p w:rsidR="00FD3904" w:rsidRPr="00B367C5" w:rsidRDefault="00F43293" w:rsidP="004F0D64">
      <w:pPr>
        <w:spacing w:after="0" w:line="240" w:lineRule="auto"/>
        <w:rPr>
          <w:rFonts w:cstheme="minorHAnsi"/>
          <w:b/>
          <w:i/>
          <w:color w:val="000000" w:themeColor="text1"/>
        </w:rPr>
      </w:pPr>
      <w:r w:rsidRPr="00B367C5">
        <w:rPr>
          <w:rFonts w:cstheme="minorHAnsi"/>
          <w:b/>
          <w:i/>
          <w:color w:val="000000" w:themeColor="text1"/>
        </w:rPr>
        <w:t>“</w:t>
      </w:r>
      <w:r w:rsidR="00FD3904" w:rsidRPr="00B367C5">
        <w:rPr>
          <w:rFonts w:cstheme="minorHAnsi"/>
          <w:b/>
          <w:i/>
          <w:color w:val="000000" w:themeColor="text1"/>
        </w:rPr>
        <w:t>The evidence generated identifies contexts in which older people fare better, and point</w:t>
      </w:r>
      <w:r w:rsidR="00C16AFF">
        <w:rPr>
          <w:rFonts w:cstheme="minorHAnsi"/>
          <w:b/>
          <w:i/>
          <w:color w:val="000000" w:themeColor="text1"/>
        </w:rPr>
        <w:t>s</w:t>
      </w:r>
      <w:r w:rsidR="00FD3904" w:rsidRPr="00B367C5">
        <w:rPr>
          <w:rFonts w:cstheme="minorHAnsi"/>
          <w:b/>
          <w:i/>
          <w:color w:val="000000" w:themeColor="text1"/>
        </w:rPr>
        <w:t xml:space="preserve"> to policy interventions that </w:t>
      </w:r>
      <w:r w:rsidR="00C16AFF">
        <w:rPr>
          <w:rFonts w:cstheme="minorHAnsi"/>
          <w:b/>
          <w:i/>
          <w:color w:val="000000" w:themeColor="text1"/>
        </w:rPr>
        <w:t>are effective in reducing people’s vulnerabilities and promoting</w:t>
      </w:r>
      <w:r w:rsidR="00FD3904" w:rsidRPr="00B367C5">
        <w:rPr>
          <w:rFonts w:cstheme="minorHAnsi"/>
          <w:b/>
          <w:i/>
          <w:color w:val="000000" w:themeColor="text1"/>
        </w:rPr>
        <w:t xml:space="preserve"> th</w:t>
      </w:r>
      <w:r w:rsidR="00C16AFF">
        <w:rPr>
          <w:rFonts w:cstheme="minorHAnsi"/>
          <w:b/>
          <w:i/>
          <w:color w:val="000000" w:themeColor="text1"/>
        </w:rPr>
        <w:t>em as a resource to</w:t>
      </w:r>
      <w:r w:rsidR="009861AD">
        <w:rPr>
          <w:rFonts w:cstheme="minorHAnsi"/>
          <w:b/>
          <w:i/>
          <w:color w:val="000000" w:themeColor="text1"/>
        </w:rPr>
        <w:t xml:space="preserve"> society,” he added.</w:t>
      </w:r>
      <w:r w:rsidR="00FD3904" w:rsidRPr="00B367C5">
        <w:rPr>
          <w:rFonts w:cstheme="minorHAnsi"/>
          <w:b/>
          <w:i/>
          <w:color w:val="000000" w:themeColor="text1"/>
        </w:rPr>
        <w:t xml:space="preserve">  </w:t>
      </w:r>
    </w:p>
    <w:p w:rsidR="00FD3904" w:rsidRDefault="00FD3904" w:rsidP="004F0D64">
      <w:pPr>
        <w:spacing w:after="0" w:line="240" w:lineRule="auto"/>
        <w:ind w:left="720"/>
        <w:rPr>
          <w:rFonts w:cstheme="minorHAnsi"/>
          <w:b/>
        </w:rPr>
      </w:pPr>
    </w:p>
    <w:p w:rsidR="00F43293" w:rsidRDefault="00F43293" w:rsidP="00F43293">
      <w:pPr>
        <w:shd w:val="clear" w:color="auto" w:fill="FFFFFF"/>
        <w:spacing w:after="0" w:line="240" w:lineRule="auto"/>
        <w:rPr>
          <w:rFonts w:cstheme="minorHAnsi"/>
        </w:rPr>
      </w:pPr>
      <w:r w:rsidRPr="00273D1F">
        <w:rPr>
          <w:rFonts w:cstheme="minorHAnsi"/>
          <w:b/>
        </w:rPr>
        <w:t>Age Demands Action (ADA),</w:t>
      </w:r>
      <w:r w:rsidRPr="00273D1F">
        <w:rPr>
          <w:rFonts w:cstheme="minorHAnsi"/>
        </w:rPr>
        <w:t xml:space="preserve"> now in its seventh year, </w:t>
      </w:r>
      <w:r w:rsidR="00051DF0">
        <w:rPr>
          <w:rFonts w:cstheme="minorHAnsi"/>
        </w:rPr>
        <w:t xml:space="preserve">campaigners in sixty countries </w:t>
      </w:r>
      <w:r w:rsidRPr="00273D1F">
        <w:rPr>
          <w:rFonts w:cstheme="minorHAnsi"/>
        </w:rPr>
        <w:t xml:space="preserve">will use </w:t>
      </w:r>
      <w:r>
        <w:rPr>
          <w:rFonts w:cstheme="minorHAnsi"/>
        </w:rPr>
        <w:t>the</w:t>
      </w:r>
      <w:r w:rsidR="00B05399" w:rsidRPr="00B05399">
        <w:rPr>
          <w:rFonts w:cstheme="minorHAnsi"/>
        </w:rPr>
        <w:t xml:space="preserve"> </w:t>
      </w:r>
      <w:r w:rsidR="00B05399" w:rsidRPr="00273D1F">
        <w:rPr>
          <w:rFonts w:cstheme="minorHAnsi"/>
        </w:rPr>
        <w:t>Index</w:t>
      </w:r>
      <w:r w:rsidRPr="00273D1F">
        <w:rPr>
          <w:rFonts w:cstheme="minorHAnsi"/>
        </w:rPr>
        <w:t xml:space="preserve"> to </w:t>
      </w:r>
      <w:r w:rsidR="00051DF0">
        <w:rPr>
          <w:rFonts w:cstheme="minorHAnsi"/>
        </w:rPr>
        <w:t>discuss</w:t>
      </w:r>
      <w:r w:rsidRPr="00273D1F">
        <w:rPr>
          <w:rFonts w:cstheme="minorHAnsi"/>
        </w:rPr>
        <w:t xml:space="preserve"> issues around ageing and the kind of improvements</w:t>
      </w:r>
      <w:r w:rsidR="00D466CB">
        <w:rPr>
          <w:rFonts w:cstheme="minorHAnsi"/>
        </w:rPr>
        <w:t>. They will also be</w:t>
      </w:r>
      <w:r w:rsidR="00896168">
        <w:rPr>
          <w:rFonts w:cstheme="minorHAnsi"/>
        </w:rPr>
        <w:t xml:space="preserve"> call</w:t>
      </w:r>
      <w:r w:rsidR="00D466CB">
        <w:rPr>
          <w:rFonts w:cstheme="minorHAnsi"/>
        </w:rPr>
        <w:t>ing</w:t>
      </w:r>
      <w:r w:rsidR="00896168">
        <w:rPr>
          <w:rFonts w:cstheme="minorHAnsi"/>
        </w:rPr>
        <w:t xml:space="preserve"> for a UN convention on the rights of older people</w:t>
      </w:r>
      <w:r w:rsidRPr="00273D1F">
        <w:rPr>
          <w:rFonts w:cstheme="minorHAnsi"/>
        </w:rPr>
        <w:t xml:space="preserve">. </w:t>
      </w:r>
    </w:p>
    <w:p w:rsidR="00783138" w:rsidRDefault="00783138" w:rsidP="00783138">
      <w:pPr>
        <w:shd w:val="clear" w:color="auto" w:fill="FFFFFF"/>
        <w:spacing w:after="0" w:line="240" w:lineRule="auto"/>
        <w:rPr>
          <w:rFonts w:cstheme="minorHAnsi"/>
        </w:rPr>
      </w:pPr>
    </w:p>
    <w:p w:rsidR="00783138" w:rsidRDefault="00783138" w:rsidP="00783138">
      <w:pPr>
        <w:shd w:val="clear" w:color="auto" w:fill="FFFFFF"/>
        <w:spacing w:after="0" w:line="240" w:lineRule="auto"/>
        <w:rPr>
          <w:b/>
          <w:bCs/>
          <w:i/>
          <w:iCs/>
        </w:rPr>
      </w:pPr>
      <w:r w:rsidRPr="00673B42">
        <w:rPr>
          <w:b/>
          <w:bCs/>
        </w:rPr>
        <w:t>“</w:t>
      </w:r>
      <w:r w:rsidRPr="00673B42">
        <w:rPr>
          <w:b/>
          <w:bCs/>
          <w:i/>
          <w:iCs/>
        </w:rPr>
        <w:t>It has been 66 years since the Universal Declaration was created</w:t>
      </w:r>
      <w:r>
        <w:rPr>
          <w:b/>
          <w:bCs/>
          <w:i/>
          <w:iCs/>
        </w:rPr>
        <w:t>,”</w:t>
      </w:r>
      <w:r w:rsidRPr="00673B42">
        <w:rPr>
          <w:rFonts w:cstheme="minorHAnsi"/>
        </w:rPr>
        <w:t xml:space="preserve"> </w:t>
      </w:r>
      <w:r>
        <w:rPr>
          <w:rFonts w:cstheme="minorHAnsi"/>
        </w:rPr>
        <w:t>s</w:t>
      </w:r>
      <w:r w:rsidRPr="00673B42">
        <w:rPr>
          <w:rFonts w:cstheme="minorHAnsi"/>
        </w:rPr>
        <w:t xml:space="preserve">aid Kenneth Hemley, an ADA activist from Jamaica. </w:t>
      </w:r>
      <w:r w:rsidRPr="00673B42">
        <w:rPr>
          <w:b/>
          <w:bCs/>
          <w:i/>
          <w:iCs/>
        </w:rPr>
        <w:t xml:space="preserve">“We are not prepared to wait another 66 years. </w:t>
      </w:r>
    </w:p>
    <w:p w:rsidR="00783138" w:rsidRDefault="00783138" w:rsidP="00783138">
      <w:pPr>
        <w:shd w:val="clear" w:color="auto" w:fill="FFFFFF"/>
        <w:spacing w:after="0" w:line="240" w:lineRule="auto"/>
        <w:rPr>
          <w:b/>
          <w:bCs/>
          <w:i/>
          <w:iCs/>
        </w:rPr>
      </w:pPr>
    </w:p>
    <w:p w:rsidR="00783138" w:rsidRDefault="00783138" w:rsidP="00783138">
      <w:pPr>
        <w:shd w:val="clear" w:color="auto" w:fill="FFFFFF"/>
        <w:spacing w:after="0" w:line="240" w:lineRule="auto"/>
        <w:rPr>
          <w:b/>
          <w:bCs/>
          <w:i/>
          <w:iCs/>
        </w:rPr>
      </w:pPr>
      <w:r>
        <w:rPr>
          <w:b/>
          <w:bCs/>
          <w:i/>
          <w:iCs/>
        </w:rPr>
        <w:t>“</w:t>
      </w:r>
      <w:r w:rsidRPr="00673B42">
        <w:rPr>
          <w:b/>
          <w:bCs/>
          <w:i/>
          <w:iCs/>
        </w:rPr>
        <w:t>I am from the grassroots. I know poverty. I am 7</w:t>
      </w:r>
      <w:r>
        <w:rPr>
          <w:b/>
          <w:bCs/>
          <w:i/>
          <w:iCs/>
        </w:rPr>
        <w:t>4 years old, so I know ageing and I tell you this,</w:t>
      </w:r>
      <w:r w:rsidRPr="00673B42">
        <w:rPr>
          <w:b/>
          <w:bCs/>
          <w:i/>
          <w:iCs/>
        </w:rPr>
        <w:t xml:space="preserve"> I have seen and experienced both poverty and old age. We the people, we the elderly people of this world, are not prepared to wait.”</w:t>
      </w:r>
    </w:p>
    <w:p w:rsidR="00783138" w:rsidRPr="00273D1F" w:rsidRDefault="00783138" w:rsidP="00F43293">
      <w:pPr>
        <w:shd w:val="clear" w:color="auto" w:fill="FFFFFF"/>
        <w:spacing w:after="0" w:line="240" w:lineRule="auto"/>
        <w:rPr>
          <w:rFonts w:cstheme="minorHAnsi"/>
        </w:rPr>
      </w:pPr>
    </w:p>
    <w:p w:rsidR="00FD3904" w:rsidRPr="00273D1F" w:rsidRDefault="00FD3904" w:rsidP="004F0D64">
      <w:pPr>
        <w:spacing w:after="0" w:line="240" w:lineRule="auto"/>
        <w:ind w:left="720"/>
        <w:rPr>
          <w:rFonts w:cstheme="minorHAnsi"/>
          <w:b/>
        </w:rPr>
      </w:pPr>
    </w:p>
    <w:p w:rsidR="004022F6" w:rsidRPr="00273D1F" w:rsidRDefault="004022F6" w:rsidP="004F0D64">
      <w:pPr>
        <w:spacing w:after="0" w:line="240" w:lineRule="auto"/>
        <w:jc w:val="center"/>
        <w:rPr>
          <w:rFonts w:cstheme="minorHAnsi"/>
          <w:b/>
        </w:rPr>
      </w:pPr>
      <w:r w:rsidRPr="00273D1F">
        <w:rPr>
          <w:rFonts w:cstheme="minorHAnsi"/>
          <w:b/>
        </w:rPr>
        <w:t>-ENDS-</w:t>
      </w:r>
    </w:p>
    <w:p w:rsidR="004022F6" w:rsidRPr="00273D1F" w:rsidRDefault="004022F6" w:rsidP="004F0D64">
      <w:pPr>
        <w:spacing w:line="240" w:lineRule="auto"/>
        <w:rPr>
          <w:rFonts w:cstheme="minorHAnsi"/>
          <w:b/>
        </w:rPr>
      </w:pPr>
      <w:r w:rsidRPr="00273D1F">
        <w:rPr>
          <w:rFonts w:cstheme="minorHAnsi"/>
          <w:b/>
        </w:rPr>
        <w:t>Notes to Editors</w:t>
      </w:r>
      <w:r w:rsidR="00902B45" w:rsidRPr="00273D1F">
        <w:rPr>
          <w:rFonts w:cstheme="minorHAnsi"/>
          <w:b/>
        </w:rPr>
        <w:t>:</w:t>
      </w:r>
    </w:p>
    <w:p w:rsidR="004B4B25" w:rsidRPr="004B4B25" w:rsidRDefault="004022F6" w:rsidP="004B4B25">
      <w:pPr>
        <w:pStyle w:val="ListParagraph"/>
        <w:numPr>
          <w:ilvl w:val="0"/>
          <w:numId w:val="7"/>
        </w:numPr>
        <w:spacing w:after="0" w:line="240" w:lineRule="auto"/>
        <w:ind w:left="360"/>
        <w:rPr>
          <w:rFonts w:cstheme="minorHAnsi"/>
          <w:color w:val="1F497D"/>
        </w:rPr>
      </w:pPr>
      <w:r w:rsidRPr="004B4B25">
        <w:rPr>
          <w:rFonts w:eastAsia="Calibri" w:cstheme="minorHAnsi"/>
          <w:b/>
        </w:rPr>
        <w:t xml:space="preserve">Download </w:t>
      </w:r>
      <w:r w:rsidR="00D1125E">
        <w:rPr>
          <w:rFonts w:eastAsia="Calibri" w:cstheme="minorHAnsi"/>
          <w:b/>
        </w:rPr>
        <w:t xml:space="preserve">the </w:t>
      </w:r>
      <w:r w:rsidRPr="004B4B25">
        <w:rPr>
          <w:rFonts w:eastAsia="Calibri" w:cstheme="minorHAnsi"/>
          <w:b/>
        </w:rPr>
        <w:t>Global AgeWa</w:t>
      </w:r>
      <w:r w:rsidR="001E0F90" w:rsidRPr="004B4B25">
        <w:rPr>
          <w:rFonts w:eastAsia="Calibri" w:cstheme="minorHAnsi"/>
          <w:b/>
        </w:rPr>
        <w:t>tch Index 2014: insight report</w:t>
      </w:r>
      <w:r w:rsidR="00B10BAF" w:rsidRPr="004B4B25">
        <w:rPr>
          <w:rFonts w:eastAsia="Calibri" w:cstheme="minorHAnsi"/>
          <w:b/>
        </w:rPr>
        <w:t xml:space="preserve"> along with case studies</w:t>
      </w:r>
      <w:r w:rsidR="000A1749">
        <w:rPr>
          <w:rFonts w:eastAsia="Calibri" w:cstheme="minorHAnsi"/>
          <w:b/>
        </w:rPr>
        <w:t>, photos and infographics</w:t>
      </w:r>
      <w:r w:rsidR="001E0F90" w:rsidRPr="004B4B25">
        <w:rPr>
          <w:rFonts w:eastAsia="Calibri" w:cstheme="minorHAnsi"/>
        </w:rPr>
        <w:t xml:space="preserve">.  </w:t>
      </w:r>
      <w:hyperlink r:id="rId8" w:history="1">
        <w:r w:rsidR="00A96833" w:rsidRPr="004B4B25">
          <w:rPr>
            <w:rStyle w:val="Hyperlink"/>
            <w:rFonts w:eastAsia="Calibri" w:cstheme="minorHAnsi"/>
          </w:rPr>
          <w:t>https://helpage.box.com/s/dns35q1ndbm561v1pum4</w:t>
        </w:r>
      </w:hyperlink>
    </w:p>
    <w:p w:rsidR="004022F6" w:rsidRPr="00A81298" w:rsidRDefault="00471B31" w:rsidP="004F0D64">
      <w:pPr>
        <w:pStyle w:val="BodyCopy"/>
        <w:spacing w:after="240" w:line="240" w:lineRule="auto"/>
        <w:rPr>
          <w:rFonts w:asciiTheme="minorHAnsi" w:hAnsiTheme="minorHAnsi" w:cstheme="minorHAnsi"/>
          <w:b/>
          <w:color w:val="FF0000"/>
          <w:sz w:val="22"/>
          <w:szCs w:val="22"/>
          <w:u w:val="single"/>
        </w:rPr>
      </w:pPr>
      <w:r w:rsidRPr="00471B31">
        <w:rPr>
          <w:rFonts w:asciiTheme="minorHAnsi" w:hAnsiTheme="minorHAnsi" w:cstheme="minorHAnsi"/>
          <w:b/>
          <w:color w:val="FF0000"/>
          <w:sz w:val="22"/>
          <w:szCs w:val="22"/>
        </w:rPr>
        <w:t xml:space="preserve">       </w:t>
      </w:r>
      <w:r w:rsidR="009E286A" w:rsidRPr="00273D1F">
        <w:rPr>
          <w:rFonts w:asciiTheme="minorHAnsi" w:hAnsiTheme="minorHAnsi" w:cstheme="minorHAnsi"/>
          <w:b/>
          <w:color w:val="FF0000"/>
          <w:sz w:val="22"/>
          <w:szCs w:val="22"/>
          <w:u w:val="single"/>
        </w:rPr>
        <w:t>RELEASE: STRICTLY EMBARGOED UNTIL 00.01am 1 OCTOBER 2014</w:t>
      </w:r>
      <w:r w:rsidR="001E0F90" w:rsidRPr="009E286A">
        <w:rPr>
          <w:rFonts w:eastAsia="Calibri" w:cstheme="minorHAnsi"/>
          <w:b/>
          <w:color w:val="FF0000"/>
        </w:rPr>
        <w:t xml:space="preserve"> </w:t>
      </w:r>
    </w:p>
    <w:p w:rsidR="00524BF0" w:rsidRPr="00273D1F" w:rsidRDefault="0027440F" w:rsidP="004F0D64">
      <w:pPr>
        <w:pStyle w:val="ListParagraph"/>
        <w:numPr>
          <w:ilvl w:val="0"/>
          <w:numId w:val="7"/>
        </w:numPr>
        <w:spacing w:after="0" w:line="240" w:lineRule="auto"/>
        <w:rPr>
          <w:rFonts w:cstheme="minorHAnsi"/>
          <w:color w:val="1F497D"/>
        </w:rPr>
      </w:pPr>
      <w:r w:rsidRPr="00273D1F">
        <w:rPr>
          <w:rFonts w:eastAsia="Calibri" w:cstheme="minorHAnsi"/>
          <w:b/>
        </w:rPr>
        <w:t>Available for interview:</w:t>
      </w:r>
      <w:r w:rsidRPr="00273D1F">
        <w:rPr>
          <w:rFonts w:cstheme="minorHAnsi"/>
          <w:color w:val="1F497D"/>
        </w:rPr>
        <w:t xml:space="preserve"> </w:t>
      </w:r>
    </w:p>
    <w:p w:rsidR="0027440F" w:rsidRDefault="0027440F" w:rsidP="004F0D64">
      <w:pPr>
        <w:pStyle w:val="ListParagraph"/>
        <w:numPr>
          <w:ilvl w:val="0"/>
          <w:numId w:val="14"/>
        </w:numPr>
        <w:spacing w:after="0" w:line="240" w:lineRule="auto"/>
        <w:rPr>
          <w:rFonts w:cstheme="minorHAnsi"/>
          <w:b/>
        </w:rPr>
      </w:pPr>
      <w:r w:rsidRPr="00273D1F">
        <w:rPr>
          <w:rFonts w:cstheme="minorHAnsi"/>
          <w:b/>
        </w:rPr>
        <w:t>Tob</w:t>
      </w:r>
      <w:r w:rsidR="00902B45" w:rsidRPr="00273D1F">
        <w:rPr>
          <w:rFonts w:cstheme="minorHAnsi"/>
          <w:b/>
        </w:rPr>
        <w:t xml:space="preserve">y Porter, Chief Executive, </w:t>
      </w:r>
      <w:r w:rsidRPr="00273D1F">
        <w:rPr>
          <w:rFonts w:cstheme="minorHAnsi"/>
          <w:b/>
        </w:rPr>
        <w:t>HelpAge International</w:t>
      </w:r>
    </w:p>
    <w:p w:rsidR="00F01AE1" w:rsidRDefault="00F01AE1" w:rsidP="004F0D64">
      <w:pPr>
        <w:pStyle w:val="ListParagraph"/>
        <w:numPr>
          <w:ilvl w:val="0"/>
          <w:numId w:val="14"/>
        </w:numPr>
        <w:spacing w:after="0" w:line="240" w:lineRule="auto"/>
        <w:rPr>
          <w:rFonts w:cstheme="minorHAnsi"/>
          <w:b/>
        </w:rPr>
      </w:pPr>
      <w:r>
        <w:rPr>
          <w:rFonts w:cstheme="minorHAnsi"/>
          <w:b/>
        </w:rPr>
        <w:t xml:space="preserve">Silvia Stefanoni, Deputy Chief Executive, </w:t>
      </w:r>
      <w:r w:rsidR="00572D08">
        <w:rPr>
          <w:rFonts w:cstheme="minorHAnsi"/>
          <w:b/>
        </w:rPr>
        <w:t xml:space="preserve">Director of Policy, </w:t>
      </w:r>
      <w:r>
        <w:rPr>
          <w:rFonts w:cstheme="minorHAnsi"/>
          <w:b/>
        </w:rPr>
        <w:t>HelpAge International</w:t>
      </w:r>
    </w:p>
    <w:p w:rsidR="00CB22D4" w:rsidRDefault="00CB22D4" w:rsidP="004F0D64">
      <w:pPr>
        <w:pStyle w:val="ListParagraph"/>
        <w:numPr>
          <w:ilvl w:val="0"/>
          <w:numId w:val="14"/>
        </w:numPr>
        <w:spacing w:after="0" w:line="240" w:lineRule="auto"/>
        <w:rPr>
          <w:rFonts w:cstheme="minorHAnsi"/>
          <w:b/>
        </w:rPr>
      </w:pPr>
      <w:r>
        <w:rPr>
          <w:rFonts w:cstheme="minorHAnsi"/>
          <w:b/>
        </w:rPr>
        <w:t>Mark Gorman, Director of Strategy</w:t>
      </w:r>
    </w:p>
    <w:p w:rsidR="007E05C0" w:rsidRPr="007E05C0" w:rsidRDefault="007E05C0" w:rsidP="007E05C0">
      <w:pPr>
        <w:pStyle w:val="ListParagraph"/>
        <w:numPr>
          <w:ilvl w:val="0"/>
          <w:numId w:val="14"/>
        </w:numPr>
        <w:spacing w:after="0" w:line="240" w:lineRule="auto"/>
        <w:rPr>
          <w:rFonts w:cstheme="minorHAnsi"/>
          <w:b/>
        </w:rPr>
      </w:pPr>
      <w:r>
        <w:rPr>
          <w:rFonts w:cstheme="minorHAnsi"/>
          <w:b/>
        </w:rPr>
        <w:t>Jane Scobie, Director of Advocacy and Communications</w:t>
      </w:r>
    </w:p>
    <w:p w:rsidR="0027440F" w:rsidRPr="00273D1F" w:rsidRDefault="00A1461D" w:rsidP="004F0D64">
      <w:pPr>
        <w:pStyle w:val="ListParagraph"/>
        <w:numPr>
          <w:ilvl w:val="0"/>
          <w:numId w:val="14"/>
        </w:numPr>
        <w:spacing w:after="0" w:line="240" w:lineRule="auto"/>
        <w:rPr>
          <w:rFonts w:cstheme="minorHAnsi"/>
          <w:color w:val="1F497D"/>
        </w:rPr>
      </w:pPr>
      <w:r w:rsidRPr="00273D1F">
        <w:rPr>
          <w:rFonts w:eastAsia="Calibri" w:cstheme="minorHAnsi"/>
          <w:b/>
        </w:rPr>
        <w:t>Charles Knox-Vyd</w:t>
      </w:r>
      <w:r w:rsidR="0027440F" w:rsidRPr="00273D1F">
        <w:rPr>
          <w:rFonts w:eastAsia="Calibri" w:cstheme="minorHAnsi"/>
          <w:b/>
        </w:rPr>
        <w:t>m</w:t>
      </w:r>
      <w:r w:rsidRPr="00273D1F">
        <w:rPr>
          <w:rFonts w:eastAsia="Calibri" w:cstheme="minorHAnsi"/>
          <w:b/>
        </w:rPr>
        <w:t>an</w:t>
      </w:r>
      <w:r w:rsidR="0027440F" w:rsidRPr="00273D1F">
        <w:rPr>
          <w:rFonts w:eastAsia="Calibri" w:cstheme="minorHAnsi"/>
          <w:b/>
        </w:rPr>
        <w:t>ov</w:t>
      </w:r>
      <w:r w:rsidRPr="00273D1F">
        <w:rPr>
          <w:rFonts w:eastAsia="Calibri" w:cstheme="minorHAnsi"/>
          <w:b/>
        </w:rPr>
        <w:t>,</w:t>
      </w:r>
      <w:r w:rsidR="0027440F" w:rsidRPr="00273D1F">
        <w:rPr>
          <w:rFonts w:eastAsia="Calibri" w:cstheme="minorHAnsi"/>
          <w:b/>
        </w:rPr>
        <w:t xml:space="preserve"> </w:t>
      </w:r>
      <w:r w:rsidR="00A96833">
        <w:rPr>
          <w:rFonts w:eastAsia="Calibri" w:cstheme="minorHAnsi"/>
          <w:b/>
        </w:rPr>
        <w:t>HelpAge International,</w:t>
      </w:r>
      <w:r w:rsidR="005D511C">
        <w:rPr>
          <w:rFonts w:eastAsia="Calibri" w:cstheme="minorHAnsi"/>
          <w:b/>
        </w:rPr>
        <w:t xml:space="preserve"> Social Protection A</w:t>
      </w:r>
      <w:r w:rsidR="009E286A">
        <w:rPr>
          <w:rFonts w:eastAsia="Calibri" w:cstheme="minorHAnsi"/>
          <w:b/>
        </w:rPr>
        <w:t>dvisor</w:t>
      </w:r>
    </w:p>
    <w:p w:rsidR="00524BF0" w:rsidRPr="00273D1F" w:rsidRDefault="005421A8" w:rsidP="004F0D64">
      <w:pPr>
        <w:pStyle w:val="ListParagraph"/>
        <w:numPr>
          <w:ilvl w:val="0"/>
          <w:numId w:val="14"/>
        </w:numPr>
        <w:spacing w:after="0" w:line="240" w:lineRule="auto"/>
        <w:rPr>
          <w:rFonts w:cstheme="minorHAnsi"/>
          <w:color w:val="1F497D"/>
        </w:rPr>
      </w:pPr>
      <w:r w:rsidRPr="00273D1F">
        <w:rPr>
          <w:rFonts w:eastAsia="Calibri" w:cstheme="minorHAnsi"/>
          <w:b/>
        </w:rPr>
        <w:t>Profess</w:t>
      </w:r>
      <w:r w:rsidR="00524BF0" w:rsidRPr="00273D1F">
        <w:rPr>
          <w:rFonts w:eastAsia="Calibri" w:cstheme="minorHAnsi"/>
          <w:b/>
        </w:rPr>
        <w:t>or Asghar Zaidi, Centre for Research on Ageing,</w:t>
      </w:r>
      <w:r w:rsidR="005D511C">
        <w:rPr>
          <w:rFonts w:eastAsia="Calibri" w:cstheme="minorHAnsi"/>
          <w:b/>
        </w:rPr>
        <w:t xml:space="preserve"> University of Southampton (</w:t>
      </w:r>
      <w:r w:rsidR="00524BF0" w:rsidRPr="00273D1F">
        <w:rPr>
          <w:rFonts w:eastAsia="Calibri" w:cstheme="minorHAnsi"/>
          <w:b/>
        </w:rPr>
        <w:t>academic partner in the construction of the Index)</w:t>
      </w:r>
    </w:p>
    <w:p w:rsidR="00524BF0" w:rsidRPr="00273D1F" w:rsidRDefault="00524BF0" w:rsidP="004F0D64">
      <w:pPr>
        <w:pStyle w:val="ListParagraph"/>
        <w:numPr>
          <w:ilvl w:val="0"/>
          <w:numId w:val="14"/>
        </w:numPr>
        <w:spacing w:after="0" w:line="240" w:lineRule="auto"/>
        <w:rPr>
          <w:rFonts w:cstheme="minorHAnsi"/>
          <w:color w:val="1F497D"/>
        </w:rPr>
      </w:pPr>
      <w:r w:rsidRPr="00273D1F">
        <w:rPr>
          <w:rFonts w:eastAsia="Calibri" w:cstheme="minorHAnsi"/>
          <w:b/>
        </w:rPr>
        <w:lastRenderedPageBreak/>
        <w:t>Professor Sir Richar</w:t>
      </w:r>
      <w:r w:rsidR="005421A8" w:rsidRPr="00273D1F">
        <w:rPr>
          <w:rFonts w:eastAsia="Calibri" w:cstheme="minorHAnsi"/>
          <w:b/>
        </w:rPr>
        <w:t>d</w:t>
      </w:r>
      <w:r w:rsidRPr="00273D1F">
        <w:rPr>
          <w:rFonts w:eastAsia="Calibri" w:cstheme="minorHAnsi"/>
          <w:b/>
        </w:rPr>
        <w:t xml:space="preserve"> Jolly, </w:t>
      </w:r>
      <w:r w:rsidR="00C32CBA">
        <w:rPr>
          <w:rFonts w:eastAsia="Calibri" w:cstheme="minorHAnsi"/>
          <w:b/>
        </w:rPr>
        <w:t xml:space="preserve">advisor to the Index. </w:t>
      </w:r>
      <w:r w:rsidRPr="00273D1F">
        <w:rPr>
          <w:rFonts w:eastAsia="Calibri" w:cstheme="minorHAnsi"/>
          <w:b/>
        </w:rPr>
        <w:t>Institute for Development Studies at t</w:t>
      </w:r>
      <w:r w:rsidR="00862025">
        <w:rPr>
          <w:rFonts w:eastAsia="Calibri" w:cstheme="minorHAnsi"/>
          <w:b/>
        </w:rPr>
        <w:t>he University of Sussex (architect</w:t>
      </w:r>
      <w:r w:rsidRPr="00273D1F">
        <w:rPr>
          <w:rFonts w:eastAsia="Calibri" w:cstheme="minorHAnsi"/>
          <w:b/>
        </w:rPr>
        <w:t xml:space="preserve"> of the Human Development Index)</w:t>
      </w:r>
    </w:p>
    <w:p w:rsidR="00524BF0" w:rsidRPr="00273D1F" w:rsidRDefault="00524BF0" w:rsidP="004F0D64">
      <w:pPr>
        <w:pStyle w:val="ListParagraph"/>
        <w:numPr>
          <w:ilvl w:val="0"/>
          <w:numId w:val="14"/>
        </w:numPr>
        <w:spacing w:after="0" w:line="240" w:lineRule="auto"/>
        <w:rPr>
          <w:rFonts w:cstheme="minorHAnsi"/>
          <w:color w:val="1F497D"/>
        </w:rPr>
      </w:pPr>
      <w:r w:rsidRPr="00273D1F">
        <w:rPr>
          <w:rFonts w:eastAsia="Calibri" w:cstheme="minorHAnsi"/>
          <w:b/>
        </w:rPr>
        <w:t>Regional spokespeople around the globe</w:t>
      </w:r>
    </w:p>
    <w:p w:rsidR="00524BF0" w:rsidRPr="00273D1F" w:rsidRDefault="00524BF0" w:rsidP="004F0D64">
      <w:pPr>
        <w:pStyle w:val="ListParagraph"/>
        <w:numPr>
          <w:ilvl w:val="0"/>
          <w:numId w:val="14"/>
        </w:numPr>
        <w:spacing w:after="0" w:line="240" w:lineRule="auto"/>
        <w:rPr>
          <w:rFonts w:cstheme="minorHAnsi"/>
          <w:color w:val="1F497D"/>
        </w:rPr>
      </w:pPr>
      <w:r w:rsidRPr="00273D1F">
        <w:rPr>
          <w:rFonts w:eastAsia="Calibri" w:cstheme="minorHAnsi"/>
          <w:b/>
        </w:rPr>
        <w:t>Older people and Age Demands Action activists in 60 countries</w:t>
      </w:r>
    </w:p>
    <w:p w:rsidR="004022F6" w:rsidRPr="00273D1F" w:rsidRDefault="004022F6" w:rsidP="004F0D64">
      <w:pPr>
        <w:spacing w:after="0" w:line="240" w:lineRule="auto"/>
        <w:rPr>
          <w:rFonts w:eastAsia="Calibri" w:cstheme="minorHAnsi"/>
          <w:b/>
        </w:rPr>
      </w:pPr>
    </w:p>
    <w:p w:rsidR="004022F6" w:rsidRPr="00273D1F" w:rsidRDefault="004022F6" w:rsidP="004F0D64">
      <w:pPr>
        <w:pStyle w:val="ListParagraph"/>
        <w:numPr>
          <w:ilvl w:val="0"/>
          <w:numId w:val="7"/>
        </w:numPr>
        <w:spacing w:after="0" w:line="240" w:lineRule="auto"/>
        <w:rPr>
          <w:rFonts w:eastAsia="Calibri" w:cstheme="minorHAnsi"/>
          <w:b/>
        </w:rPr>
      </w:pPr>
      <w:r w:rsidRPr="00273D1F">
        <w:rPr>
          <w:rFonts w:eastAsia="Calibri" w:cstheme="minorHAnsi"/>
          <w:b/>
        </w:rPr>
        <w:t>Age Demands Action Campaign</w:t>
      </w:r>
    </w:p>
    <w:p w:rsidR="004022F6" w:rsidRPr="00273D1F" w:rsidRDefault="00047875" w:rsidP="004F0D64">
      <w:pPr>
        <w:spacing w:after="0" w:line="240" w:lineRule="auto"/>
        <w:rPr>
          <w:rFonts w:eastAsia="Calibri" w:cstheme="minorHAnsi"/>
        </w:rPr>
      </w:pPr>
      <w:r w:rsidRPr="00273D1F">
        <w:rPr>
          <w:rFonts w:eastAsia="Calibri" w:cstheme="minorHAnsi"/>
        </w:rPr>
        <w:t>The</w:t>
      </w:r>
      <w:r w:rsidR="004022F6" w:rsidRPr="00273D1F">
        <w:rPr>
          <w:rFonts w:eastAsia="Calibri" w:cstheme="minorHAnsi"/>
        </w:rPr>
        <w:t xml:space="preserve"> launch of the Global AgeWatch Index </w:t>
      </w:r>
      <w:r w:rsidRPr="00273D1F">
        <w:rPr>
          <w:rFonts w:eastAsia="Calibri" w:cstheme="minorHAnsi"/>
        </w:rPr>
        <w:t xml:space="preserve">on 1 October </w:t>
      </w:r>
      <w:r w:rsidR="004022F6" w:rsidRPr="00273D1F">
        <w:rPr>
          <w:rFonts w:eastAsia="Calibri" w:cstheme="minorHAnsi"/>
        </w:rPr>
        <w:t>coincides with a day of global activism in which more than 100,000 older peopl</w:t>
      </w:r>
      <w:r w:rsidR="00EF328D">
        <w:rPr>
          <w:rFonts w:eastAsia="Calibri" w:cstheme="minorHAnsi"/>
        </w:rPr>
        <w:t>e from nearly 5</w:t>
      </w:r>
      <w:r w:rsidR="004022F6" w:rsidRPr="00273D1F">
        <w:rPr>
          <w:rFonts w:eastAsia="Calibri" w:cstheme="minorHAnsi"/>
        </w:rPr>
        <w:t xml:space="preserve">0 countries will be campaigning as part of </w:t>
      </w:r>
      <w:r w:rsidR="004022F6" w:rsidRPr="00273D1F">
        <w:rPr>
          <w:rFonts w:eastAsia="Calibri" w:cstheme="minorHAnsi"/>
          <w:b/>
        </w:rPr>
        <w:t>Age Demands Action</w:t>
      </w:r>
      <w:r w:rsidR="004022F6" w:rsidRPr="00273D1F">
        <w:rPr>
          <w:rFonts w:eastAsia="Calibri" w:cstheme="minorHAnsi"/>
        </w:rPr>
        <w:t xml:space="preserve"> (ADA). This global grassroots campaign calls on governments, the international community and civil society to address the rights, concerns, and needs of older people (</w:t>
      </w:r>
      <w:hyperlink r:id="rId9" w:history="1">
        <w:r w:rsidR="004022F6" w:rsidRPr="00273D1F">
          <w:rPr>
            <w:rFonts w:eastAsia="Calibri" w:cstheme="minorHAnsi"/>
            <w:color w:val="0000FF" w:themeColor="hyperlink"/>
            <w:u w:val="single"/>
          </w:rPr>
          <w:t>http://www.helpage.org/get-involved/campaigns/age-demands-action/</w:t>
        </w:r>
      </w:hyperlink>
      <w:r w:rsidR="004022F6" w:rsidRPr="00273D1F">
        <w:rPr>
          <w:rFonts w:eastAsia="Calibri" w:cstheme="minorHAnsi"/>
        </w:rPr>
        <w:t>).</w:t>
      </w:r>
    </w:p>
    <w:p w:rsidR="004022F6" w:rsidRPr="00273D1F" w:rsidRDefault="004022F6" w:rsidP="004F0D64">
      <w:pPr>
        <w:spacing w:after="0" w:line="240" w:lineRule="auto"/>
        <w:rPr>
          <w:rFonts w:cstheme="minorHAnsi"/>
          <w:highlight w:val="yellow"/>
        </w:rPr>
      </w:pPr>
    </w:p>
    <w:p w:rsidR="004022F6" w:rsidRPr="00273D1F" w:rsidRDefault="004022F6" w:rsidP="004F0D64">
      <w:pPr>
        <w:pStyle w:val="NoSpacing"/>
        <w:rPr>
          <w:rFonts w:cstheme="minorHAnsi"/>
        </w:rPr>
      </w:pPr>
      <w:r w:rsidRPr="00273D1F">
        <w:rPr>
          <w:rFonts w:cstheme="minorHAnsi"/>
        </w:rPr>
        <w:t xml:space="preserve">We anticipate </w:t>
      </w:r>
      <w:r w:rsidR="00203A0A">
        <w:rPr>
          <w:rFonts w:cstheme="minorHAnsi"/>
        </w:rPr>
        <w:t>that activists in more than 5</w:t>
      </w:r>
      <w:r w:rsidRPr="00273D1F">
        <w:rPr>
          <w:rFonts w:cstheme="minorHAnsi"/>
        </w:rPr>
        <w:t xml:space="preserve">0 countries will be taking part in this year’s Age Demands Action campaign on 1 October, including </w:t>
      </w:r>
      <w:r w:rsidRPr="004F1037">
        <w:rPr>
          <w:rFonts w:cstheme="minorHAnsi"/>
          <w:b/>
        </w:rPr>
        <w:t>Albania,</w:t>
      </w:r>
      <w:r w:rsidRPr="0057327D">
        <w:rPr>
          <w:rFonts w:cstheme="minorHAnsi"/>
          <w:b/>
        </w:rPr>
        <w:t xml:space="preserve"> Argentina</w:t>
      </w:r>
      <w:r w:rsidRPr="00273D1F">
        <w:rPr>
          <w:rFonts w:cstheme="minorHAnsi"/>
        </w:rPr>
        <w:t xml:space="preserve">, </w:t>
      </w:r>
      <w:r w:rsidRPr="004F1037">
        <w:rPr>
          <w:rFonts w:cstheme="minorHAnsi"/>
          <w:b/>
        </w:rPr>
        <w:t>Bangladesh</w:t>
      </w:r>
      <w:r w:rsidRPr="00273D1F">
        <w:rPr>
          <w:rFonts w:cstheme="minorHAnsi"/>
        </w:rPr>
        <w:t xml:space="preserve">, </w:t>
      </w:r>
      <w:r w:rsidRPr="0057327D">
        <w:rPr>
          <w:rFonts w:cstheme="minorHAnsi"/>
          <w:b/>
        </w:rPr>
        <w:t>Bolivia,</w:t>
      </w:r>
      <w:r w:rsidRPr="00273D1F">
        <w:rPr>
          <w:rFonts w:cstheme="minorHAnsi"/>
        </w:rPr>
        <w:t xml:space="preserve"> </w:t>
      </w:r>
      <w:r w:rsidRPr="004F1037">
        <w:rPr>
          <w:rFonts w:cstheme="minorHAnsi"/>
          <w:b/>
        </w:rPr>
        <w:t>Bosnia &amp; Herzegovina</w:t>
      </w:r>
      <w:r w:rsidRPr="00273D1F">
        <w:rPr>
          <w:rFonts w:cstheme="minorHAnsi"/>
        </w:rPr>
        <w:t xml:space="preserve">, </w:t>
      </w:r>
      <w:r w:rsidRPr="001D6EF2">
        <w:rPr>
          <w:rFonts w:cstheme="minorHAnsi"/>
          <w:b/>
        </w:rPr>
        <w:t>Cambodia,</w:t>
      </w:r>
      <w:r w:rsidRPr="00273D1F">
        <w:rPr>
          <w:rFonts w:cstheme="minorHAnsi"/>
        </w:rPr>
        <w:t xml:space="preserve"> </w:t>
      </w:r>
      <w:r w:rsidRPr="00734305">
        <w:rPr>
          <w:rFonts w:cstheme="minorHAnsi"/>
          <w:b/>
        </w:rPr>
        <w:t>Cameroon,</w:t>
      </w:r>
      <w:r w:rsidRPr="00273D1F">
        <w:rPr>
          <w:rFonts w:cstheme="minorHAnsi"/>
        </w:rPr>
        <w:t xml:space="preserve"> </w:t>
      </w:r>
      <w:r w:rsidRPr="00684391">
        <w:rPr>
          <w:rFonts w:cstheme="minorHAnsi"/>
          <w:b/>
        </w:rPr>
        <w:t>Chile,</w:t>
      </w:r>
      <w:r w:rsidRPr="00273D1F">
        <w:rPr>
          <w:rFonts w:cstheme="minorHAnsi"/>
        </w:rPr>
        <w:t xml:space="preserve"> </w:t>
      </w:r>
      <w:r w:rsidRPr="0057327D">
        <w:rPr>
          <w:rFonts w:cstheme="minorHAnsi"/>
          <w:b/>
        </w:rPr>
        <w:t>Colombia,</w:t>
      </w:r>
      <w:r w:rsidRPr="00273D1F">
        <w:rPr>
          <w:rFonts w:cstheme="minorHAnsi"/>
        </w:rPr>
        <w:t xml:space="preserve"> </w:t>
      </w:r>
      <w:r w:rsidRPr="00684391">
        <w:rPr>
          <w:rFonts w:cstheme="minorHAnsi"/>
          <w:b/>
        </w:rPr>
        <w:t>Costa Rica,</w:t>
      </w:r>
      <w:r w:rsidRPr="00273D1F">
        <w:rPr>
          <w:rFonts w:cstheme="minorHAnsi"/>
        </w:rPr>
        <w:t xml:space="preserve"> </w:t>
      </w:r>
      <w:r w:rsidRPr="00C82223">
        <w:rPr>
          <w:rFonts w:cstheme="minorHAnsi"/>
          <w:b/>
        </w:rPr>
        <w:t>Czech Republic,</w:t>
      </w:r>
      <w:r w:rsidRPr="00273D1F">
        <w:rPr>
          <w:rFonts w:cstheme="minorHAnsi"/>
        </w:rPr>
        <w:t xml:space="preserve"> </w:t>
      </w:r>
      <w:r w:rsidRPr="00C82223">
        <w:rPr>
          <w:rFonts w:cstheme="minorHAnsi"/>
          <w:b/>
        </w:rPr>
        <w:t>Dominica,</w:t>
      </w:r>
      <w:r w:rsidRPr="00273D1F">
        <w:rPr>
          <w:rFonts w:cstheme="minorHAnsi"/>
        </w:rPr>
        <w:t xml:space="preserve"> </w:t>
      </w:r>
      <w:r w:rsidRPr="0057327D">
        <w:rPr>
          <w:rFonts w:cstheme="minorHAnsi"/>
          <w:b/>
        </w:rPr>
        <w:t>Dominican Republic,</w:t>
      </w:r>
      <w:r w:rsidRPr="00273D1F">
        <w:rPr>
          <w:rFonts w:cstheme="minorHAnsi"/>
        </w:rPr>
        <w:t xml:space="preserve"> </w:t>
      </w:r>
      <w:r w:rsidRPr="0057327D">
        <w:rPr>
          <w:rFonts w:cstheme="minorHAnsi"/>
          <w:b/>
        </w:rPr>
        <w:t>Ecuador,</w:t>
      </w:r>
      <w:r w:rsidR="00684391">
        <w:rPr>
          <w:rFonts w:cstheme="minorHAnsi"/>
          <w:b/>
        </w:rPr>
        <w:t xml:space="preserve"> El Salvador,</w:t>
      </w:r>
      <w:r w:rsidRPr="00273D1F">
        <w:rPr>
          <w:rFonts w:cstheme="minorHAnsi"/>
        </w:rPr>
        <w:t xml:space="preserve"> </w:t>
      </w:r>
      <w:r w:rsidRPr="00734305">
        <w:rPr>
          <w:rFonts w:cstheme="minorHAnsi"/>
          <w:b/>
        </w:rPr>
        <w:t>Ethiopia,</w:t>
      </w:r>
      <w:r w:rsidRPr="00273D1F">
        <w:rPr>
          <w:rFonts w:cstheme="minorHAnsi"/>
        </w:rPr>
        <w:t xml:space="preserve"> </w:t>
      </w:r>
      <w:r w:rsidRPr="00734305">
        <w:rPr>
          <w:rFonts w:cstheme="minorHAnsi"/>
          <w:b/>
        </w:rPr>
        <w:t>Ghana,</w:t>
      </w:r>
      <w:r w:rsidRPr="00273D1F">
        <w:rPr>
          <w:rFonts w:cstheme="minorHAnsi"/>
        </w:rPr>
        <w:t xml:space="preserve"> </w:t>
      </w:r>
      <w:r w:rsidRPr="0057327D">
        <w:rPr>
          <w:rFonts w:cstheme="minorHAnsi"/>
          <w:b/>
        </w:rPr>
        <w:t>Grenada,</w:t>
      </w:r>
      <w:r w:rsidRPr="00273D1F">
        <w:rPr>
          <w:rFonts w:cstheme="minorHAnsi"/>
        </w:rPr>
        <w:t xml:space="preserve"> </w:t>
      </w:r>
      <w:r w:rsidRPr="0057327D">
        <w:rPr>
          <w:rFonts w:cstheme="minorHAnsi"/>
          <w:b/>
        </w:rPr>
        <w:t>Haiti,</w:t>
      </w:r>
      <w:r w:rsidRPr="00273D1F">
        <w:rPr>
          <w:rFonts w:cstheme="minorHAnsi"/>
        </w:rPr>
        <w:t xml:space="preserve"> </w:t>
      </w:r>
      <w:r w:rsidRPr="004F1037">
        <w:rPr>
          <w:rFonts w:cstheme="minorHAnsi"/>
          <w:b/>
        </w:rPr>
        <w:t>India,</w:t>
      </w:r>
      <w:r w:rsidRPr="00273D1F">
        <w:rPr>
          <w:rFonts w:cstheme="minorHAnsi"/>
        </w:rPr>
        <w:t xml:space="preserve"> </w:t>
      </w:r>
      <w:r w:rsidRPr="001D6EF2">
        <w:rPr>
          <w:rFonts w:cstheme="minorHAnsi"/>
          <w:b/>
        </w:rPr>
        <w:t>Indonesia,</w:t>
      </w:r>
      <w:r w:rsidRPr="00273D1F">
        <w:rPr>
          <w:rFonts w:cstheme="minorHAnsi"/>
        </w:rPr>
        <w:t xml:space="preserve"> </w:t>
      </w:r>
      <w:r w:rsidRPr="0057327D">
        <w:rPr>
          <w:rFonts w:cstheme="minorHAnsi"/>
          <w:b/>
        </w:rPr>
        <w:t>Jamaica,</w:t>
      </w:r>
      <w:r w:rsidRPr="00273D1F">
        <w:rPr>
          <w:rFonts w:cstheme="minorHAnsi"/>
        </w:rPr>
        <w:t xml:space="preserve"> </w:t>
      </w:r>
      <w:r w:rsidRPr="00734305">
        <w:rPr>
          <w:rFonts w:cstheme="minorHAnsi"/>
          <w:b/>
        </w:rPr>
        <w:t>Kenya,</w:t>
      </w:r>
      <w:r w:rsidRPr="00273D1F">
        <w:rPr>
          <w:rFonts w:cstheme="minorHAnsi"/>
        </w:rPr>
        <w:t xml:space="preserve"> </w:t>
      </w:r>
      <w:r w:rsidRPr="004F1037">
        <w:rPr>
          <w:rFonts w:cstheme="minorHAnsi"/>
          <w:b/>
        </w:rPr>
        <w:t>Kazakhstan,</w:t>
      </w:r>
      <w:r w:rsidRPr="00273D1F">
        <w:rPr>
          <w:rFonts w:cstheme="minorHAnsi"/>
        </w:rPr>
        <w:t xml:space="preserve"> </w:t>
      </w:r>
      <w:r w:rsidRPr="004F1037">
        <w:rPr>
          <w:rFonts w:cstheme="minorHAnsi"/>
          <w:b/>
        </w:rPr>
        <w:t>Kyrgyzstan,</w:t>
      </w:r>
      <w:r w:rsidRPr="00273D1F">
        <w:rPr>
          <w:rFonts w:cstheme="minorHAnsi"/>
        </w:rPr>
        <w:t xml:space="preserve"> </w:t>
      </w:r>
      <w:r w:rsidRPr="001D6EF2">
        <w:rPr>
          <w:rFonts w:cstheme="minorHAnsi"/>
          <w:b/>
        </w:rPr>
        <w:t>Lesoto,</w:t>
      </w:r>
      <w:r w:rsidRPr="00273D1F">
        <w:rPr>
          <w:rFonts w:cstheme="minorHAnsi"/>
        </w:rPr>
        <w:t xml:space="preserve"> </w:t>
      </w:r>
      <w:r w:rsidRPr="00C82223">
        <w:rPr>
          <w:rFonts w:cstheme="minorHAnsi"/>
          <w:b/>
        </w:rPr>
        <w:t>Macedonia</w:t>
      </w:r>
      <w:r w:rsidRPr="00273D1F">
        <w:rPr>
          <w:rFonts w:cstheme="minorHAnsi"/>
        </w:rPr>
        <w:t xml:space="preserve">, </w:t>
      </w:r>
      <w:r w:rsidR="004122E8" w:rsidRPr="004122E8">
        <w:rPr>
          <w:rFonts w:cstheme="minorHAnsi"/>
          <w:b/>
        </w:rPr>
        <w:t>Malawi,</w:t>
      </w:r>
      <w:r w:rsidR="004122E8">
        <w:rPr>
          <w:rFonts w:cstheme="minorHAnsi"/>
        </w:rPr>
        <w:t xml:space="preserve"> </w:t>
      </w:r>
      <w:r w:rsidR="00684391" w:rsidRPr="00730FC2">
        <w:rPr>
          <w:rFonts w:cstheme="minorHAnsi"/>
          <w:b/>
        </w:rPr>
        <w:t>Mexico,</w:t>
      </w:r>
      <w:r w:rsidR="00684391">
        <w:rPr>
          <w:rFonts w:cstheme="minorHAnsi"/>
        </w:rPr>
        <w:t xml:space="preserve"> </w:t>
      </w:r>
      <w:r w:rsidRPr="004F1037">
        <w:rPr>
          <w:rFonts w:cstheme="minorHAnsi"/>
          <w:b/>
        </w:rPr>
        <w:t>Moldova,</w:t>
      </w:r>
      <w:r w:rsidRPr="00273D1F">
        <w:rPr>
          <w:rFonts w:cstheme="minorHAnsi"/>
        </w:rPr>
        <w:t xml:space="preserve"> </w:t>
      </w:r>
      <w:r w:rsidRPr="004122E8">
        <w:rPr>
          <w:rFonts w:cstheme="minorHAnsi"/>
          <w:b/>
        </w:rPr>
        <w:t>Mozambique,</w:t>
      </w:r>
      <w:r w:rsidRPr="00273D1F">
        <w:rPr>
          <w:rFonts w:cstheme="minorHAnsi"/>
        </w:rPr>
        <w:t xml:space="preserve"> </w:t>
      </w:r>
      <w:r w:rsidRPr="001D6EF2">
        <w:rPr>
          <w:rFonts w:cstheme="minorHAnsi"/>
          <w:b/>
        </w:rPr>
        <w:t>Myanmar,</w:t>
      </w:r>
      <w:r w:rsidRPr="00273D1F">
        <w:rPr>
          <w:rFonts w:cstheme="minorHAnsi"/>
        </w:rPr>
        <w:t xml:space="preserve"> </w:t>
      </w:r>
      <w:r w:rsidR="00C82223" w:rsidRPr="00C82223">
        <w:rPr>
          <w:rFonts w:cstheme="minorHAnsi"/>
          <w:b/>
        </w:rPr>
        <w:t>Netherlands,</w:t>
      </w:r>
      <w:r w:rsidR="00C82223">
        <w:rPr>
          <w:rFonts w:cstheme="minorHAnsi"/>
        </w:rPr>
        <w:t xml:space="preserve"> </w:t>
      </w:r>
      <w:r w:rsidRPr="004F1037">
        <w:rPr>
          <w:rFonts w:cstheme="minorHAnsi"/>
          <w:b/>
        </w:rPr>
        <w:t>Nepal,</w:t>
      </w:r>
      <w:r w:rsidRPr="00273D1F">
        <w:rPr>
          <w:rFonts w:cstheme="minorHAnsi"/>
        </w:rPr>
        <w:t xml:space="preserve"> </w:t>
      </w:r>
      <w:r w:rsidRPr="00734305">
        <w:rPr>
          <w:rFonts w:cstheme="minorHAnsi"/>
          <w:b/>
        </w:rPr>
        <w:t>Nigeria,</w:t>
      </w:r>
      <w:r w:rsidRPr="00273D1F">
        <w:rPr>
          <w:rFonts w:cstheme="minorHAnsi"/>
        </w:rPr>
        <w:t xml:space="preserve"> </w:t>
      </w:r>
      <w:r w:rsidRPr="004F1037">
        <w:rPr>
          <w:rFonts w:cstheme="minorHAnsi"/>
          <w:b/>
        </w:rPr>
        <w:t>Pakistan,</w:t>
      </w:r>
      <w:r w:rsidRPr="00273D1F">
        <w:rPr>
          <w:rFonts w:cstheme="minorHAnsi"/>
        </w:rPr>
        <w:t xml:space="preserve"> </w:t>
      </w:r>
      <w:r w:rsidRPr="0057327D">
        <w:rPr>
          <w:rFonts w:cstheme="minorHAnsi"/>
          <w:b/>
        </w:rPr>
        <w:t>Paraguay,</w:t>
      </w:r>
      <w:r w:rsidRPr="00273D1F">
        <w:rPr>
          <w:rFonts w:cstheme="minorHAnsi"/>
        </w:rPr>
        <w:t xml:space="preserve"> </w:t>
      </w:r>
      <w:r w:rsidRPr="00684391">
        <w:rPr>
          <w:rFonts w:cstheme="minorHAnsi"/>
          <w:b/>
        </w:rPr>
        <w:t>Peru,</w:t>
      </w:r>
      <w:r w:rsidRPr="00273D1F">
        <w:rPr>
          <w:rFonts w:cstheme="minorHAnsi"/>
        </w:rPr>
        <w:t xml:space="preserve"> </w:t>
      </w:r>
      <w:r w:rsidRPr="000B46E8">
        <w:rPr>
          <w:rFonts w:cstheme="minorHAnsi"/>
          <w:b/>
        </w:rPr>
        <w:t>Philippines,</w:t>
      </w:r>
      <w:r w:rsidR="00B55DA5">
        <w:rPr>
          <w:rFonts w:cstheme="minorHAnsi"/>
        </w:rPr>
        <w:t xml:space="preserve"> </w:t>
      </w:r>
      <w:r w:rsidRPr="004F1037">
        <w:rPr>
          <w:rFonts w:cstheme="minorHAnsi"/>
          <w:b/>
        </w:rPr>
        <w:t>Serbia,</w:t>
      </w:r>
      <w:r w:rsidRPr="00734305">
        <w:rPr>
          <w:rFonts w:cstheme="minorHAnsi"/>
          <w:b/>
        </w:rPr>
        <w:t xml:space="preserve"> Sierra Leone,</w:t>
      </w:r>
      <w:r w:rsidR="004122E8">
        <w:rPr>
          <w:rFonts w:cstheme="minorHAnsi"/>
        </w:rPr>
        <w:t xml:space="preserve"> </w:t>
      </w:r>
      <w:r w:rsidR="004122E8" w:rsidRPr="00C82223">
        <w:rPr>
          <w:rFonts w:cstheme="minorHAnsi"/>
          <w:b/>
        </w:rPr>
        <w:t>Slovenia,</w:t>
      </w:r>
      <w:r w:rsidR="004122E8">
        <w:rPr>
          <w:rFonts w:cstheme="minorHAnsi"/>
        </w:rPr>
        <w:t xml:space="preserve"> </w:t>
      </w:r>
      <w:r w:rsidR="00C82223">
        <w:rPr>
          <w:rFonts w:cstheme="minorHAnsi"/>
          <w:b/>
        </w:rPr>
        <w:t xml:space="preserve">Spain, </w:t>
      </w:r>
      <w:r w:rsidR="004122E8" w:rsidRPr="004122E8">
        <w:rPr>
          <w:rFonts w:cstheme="minorHAnsi"/>
          <w:b/>
        </w:rPr>
        <w:t>South Africa</w:t>
      </w:r>
      <w:r w:rsidR="004122E8">
        <w:rPr>
          <w:rFonts w:cstheme="minorHAnsi"/>
        </w:rPr>
        <w:t xml:space="preserve">, </w:t>
      </w:r>
      <w:r w:rsidRPr="004122E8">
        <w:rPr>
          <w:rFonts w:cstheme="minorHAnsi"/>
          <w:b/>
        </w:rPr>
        <w:t>Sudan,</w:t>
      </w:r>
      <w:r w:rsidRPr="00273D1F">
        <w:rPr>
          <w:rFonts w:cstheme="minorHAnsi"/>
        </w:rPr>
        <w:t xml:space="preserve"> </w:t>
      </w:r>
      <w:r w:rsidRPr="000B46E8">
        <w:rPr>
          <w:rFonts w:cstheme="minorHAnsi"/>
          <w:b/>
        </w:rPr>
        <w:t>Sri Lanka,</w:t>
      </w:r>
      <w:r w:rsidR="00D25339">
        <w:rPr>
          <w:rFonts w:cstheme="minorHAnsi"/>
        </w:rPr>
        <w:t xml:space="preserve"> </w:t>
      </w:r>
      <w:r w:rsidRPr="00273D1F">
        <w:rPr>
          <w:rFonts w:cstheme="minorHAnsi"/>
        </w:rPr>
        <w:t xml:space="preserve"> </w:t>
      </w:r>
      <w:r w:rsidRPr="00734305">
        <w:rPr>
          <w:rFonts w:cstheme="minorHAnsi"/>
          <w:b/>
        </w:rPr>
        <w:t>Tanzania,</w:t>
      </w:r>
      <w:r w:rsidRPr="00273D1F">
        <w:rPr>
          <w:rFonts w:cstheme="minorHAnsi"/>
        </w:rPr>
        <w:t xml:space="preserve"> </w:t>
      </w:r>
      <w:r w:rsidRPr="000B46E8">
        <w:rPr>
          <w:rFonts w:cstheme="minorHAnsi"/>
          <w:b/>
        </w:rPr>
        <w:t>Thailand,</w:t>
      </w:r>
      <w:r w:rsidRPr="00273D1F">
        <w:rPr>
          <w:rFonts w:cstheme="minorHAnsi"/>
        </w:rPr>
        <w:t xml:space="preserve"> </w:t>
      </w:r>
      <w:r w:rsidRPr="00734305">
        <w:rPr>
          <w:rFonts w:cstheme="minorHAnsi"/>
          <w:b/>
        </w:rPr>
        <w:t>Uganda</w:t>
      </w:r>
      <w:r w:rsidRPr="00273D1F">
        <w:rPr>
          <w:rFonts w:cstheme="minorHAnsi"/>
        </w:rPr>
        <w:t xml:space="preserve">, </w:t>
      </w:r>
      <w:r w:rsidRPr="000B46E8">
        <w:rPr>
          <w:rFonts w:cstheme="minorHAnsi"/>
          <w:b/>
        </w:rPr>
        <w:t>Vietnam</w:t>
      </w:r>
      <w:r w:rsidR="00B55DA5">
        <w:rPr>
          <w:rFonts w:cstheme="minorHAnsi"/>
        </w:rPr>
        <w:t>,</w:t>
      </w:r>
      <w:r w:rsidRPr="00273D1F">
        <w:rPr>
          <w:rFonts w:cstheme="minorHAnsi"/>
        </w:rPr>
        <w:t xml:space="preserve"> </w:t>
      </w:r>
      <w:r w:rsidRPr="004122E8">
        <w:rPr>
          <w:rFonts w:cstheme="minorHAnsi"/>
          <w:b/>
        </w:rPr>
        <w:t>Zambia</w:t>
      </w:r>
      <w:r w:rsidR="004122E8">
        <w:rPr>
          <w:rFonts w:cstheme="minorHAnsi"/>
          <w:b/>
        </w:rPr>
        <w:t xml:space="preserve"> and Zimbabwe</w:t>
      </w:r>
      <w:r w:rsidRPr="004122E8">
        <w:rPr>
          <w:rFonts w:cstheme="minorHAnsi"/>
          <w:b/>
        </w:rPr>
        <w:t>.</w:t>
      </w:r>
    </w:p>
    <w:p w:rsidR="00AB677A" w:rsidRPr="00273D1F" w:rsidRDefault="00AB677A" w:rsidP="004F0D64">
      <w:pPr>
        <w:spacing w:after="0" w:line="240" w:lineRule="auto"/>
        <w:rPr>
          <w:rFonts w:cstheme="minorHAnsi"/>
        </w:rPr>
      </w:pPr>
    </w:p>
    <w:p w:rsidR="00AB677A" w:rsidRPr="00273D1F" w:rsidRDefault="00AB677A" w:rsidP="004F0D64">
      <w:pPr>
        <w:pStyle w:val="ListParagraph"/>
        <w:numPr>
          <w:ilvl w:val="0"/>
          <w:numId w:val="7"/>
        </w:numPr>
        <w:spacing w:after="0" w:line="240" w:lineRule="auto"/>
        <w:rPr>
          <w:rFonts w:cstheme="minorHAnsi"/>
          <w:b/>
        </w:rPr>
      </w:pPr>
      <w:r w:rsidRPr="00273D1F">
        <w:rPr>
          <w:rFonts w:cstheme="minorHAnsi"/>
          <w:b/>
        </w:rPr>
        <w:t>Population ageing</w:t>
      </w:r>
    </w:p>
    <w:p w:rsidR="00AB677A" w:rsidRPr="00273D1F" w:rsidRDefault="00AB677A" w:rsidP="004F0D64">
      <w:pPr>
        <w:spacing w:after="0" w:line="240" w:lineRule="auto"/>
        <w:rPr>
          <w:rFonts w:cstheme="minorHAnsi"/>
        </w:rPr>
      </w:pPr>
      <w:r w:rsidRPr="00273D1F">
        <w:rPr>
          <w:rFonts w:cstheme="minorHAnsi"/>
        </w:rPr>
        <w:t>The Index follows the success of:</w:t>
      </w:r>
    </w:p>
    <w:p w:rsidR="00AB677A" w:rsidRPr="00273D1F" w:rsidRDefault="00AB677A" w:rsidP="004F0D64">
      <w:pPr>
        <w:spacing w:after="0" w:line="240" w:lineRule="auto"/>
        <w:rPr>
          <w:rFonts w:cstheme="minorHAnsi"/>
        </w:rPr>
      </w:pPr>
    </w:p>
    <w:p w:rsidR="00AB677A" w:rsidRPr="00273D1F" w:rsidRDefault="00AB677A" w:rsidP="004F0D64">
      <w:pPr>
        <w:pStyle w:val="ListParagraph"/>
        <w:numPr>
          <w:ilvl w:val="0"/>
          <w:numId w:val="13"/>
        </w:numPr>
        <w:spacing w:after="0" w:line="240" w:lineRule="auto"/>
        <w:rPr>
          <w:rFonts w:cstheme="minorHAnsi"/>
        </w:rPr>
      </w:pPr>
      <w:r w:rsidRPr="00273D1F">
        <w:rPr>
          <w:rFonts w:cstheme="minorHAnsi"/>
        </w:rPr>
        <w:t xml:space="preserve"> “</w:t>
      </w:r>
      <w:hyperlink r:id="rId10" w:history="1">
        <w:r w:rsidRPr="00273D1F">
          <w:rPr>
            <w:rFonts w:cstheme="minorHAnsi"/>
            <w:i/>
            <w:color w:val="0000FF" w:themeColor="hyperlink"/>
            <w:u w:val="single"/>
          </w:rPr>
          <w:t xml:space="preserve">Ageing in the Twenty-First Century: A Celebration and A Challenge </w:t>
        </w:r>
      </w:hyperlink>
      <w:r w:rsidRPr="00273D1F">
        <w:rPr>
          <w:rFonts w:cstheme="minorHAnsi"/>
          <w:i/>
          <w:color w:val="0000FF" w:themeColor="hyperlink"/>
          <w:u w:val="single"/>
        </w:rPr>
        <w:t>”</w:t>
      </w:r>
      <w:r w:rsidRPr="00273D1F">
        <w:rPr>
          <w:rFonts w:cstheme="minorHAnsi"/>
        </w:rPr>
        <w:t>, (</w:t>
      </w:r>
      <w:hyperlink r:id="rId11" w:history="1">
        <w:r w:rsidRPr="00273D1F">
          <w:rPr>
            <w:rFonts w:cstheme="minorHAnsi"/>
            <w:color w:val="0000FF" w:themeColor="hyperlink"/>
            <w:u w:val="single"/>
          </w:rPr>
          <w:t>http://www.unfpa.org/public/home/publications/pid/11584</w:t>
        </w:r>
      </w:hyperlink>
      <w:r w:rsidRPr="00273D1F">
        <w:rPr>
          <w:rFonts w:cstheme="minorHAnsi"/>
        </w:rPr>
        <w:t>)</w:t>
      </w:r>
    </w:p>
    <w:p w:rsidR="00AB677A" w:rsidRPr="00273D1F" w:rsidRDefault="00AB677A" w:rsidP="004F0D64">
      <w:pPr>
        <w:spacing w:after="0" w:line="240" w:lineRule="auto"/>
        <w:rPr>
          <w:rFonts w:cstheme="minorHAnsi"/>
        </w:rPr>
      </w:pPr>
    </w:p>
    <w:p w:rsidR="00AB677A" w:rsidRPr="00273D1F" w:rsidRDefault="002D6329" w:rsidP="004F0D64">
      <w:pPr>
        <w:pStyle w:val="ListParagraph"/>
        <w:numPr>
          <w:ilvl w:val="0"/>
          <w:numId w:val="13"/>
        </w:numPr>
        <w:spacing w:after="0" w:line="240" w:lineRule="auto"/>
        <w:rPr>
          <w:rFonts w:cstheme="minorHAnsi"/>
        </w:rPr>
      </w:pPr>
      <w:hyperlink r:id="rId12" w:history="1">
        <w:r w:rsidR="00AB677A" w:rsidRPr="00273D1F">
          <w:rPr>
            <w:rStyle w:val="Hyperlink"/>
            <w:rFonts w:cstheme="minorHAnsi"/>
          </w:rPr>
          <w:t>Global AgeWatch Index 2013</w:t>
        </w:r>
      </w:hyperlink>
      <w:r w:rsidR="00AB677A" w:rsidRPr="00273D1F">
        <w:rPr>
          <w:rFonts w:cstheme="minorHAnsi"/>
        </w:rPr>
        <w:t xml:space="preserve"> </w:t>
      </w:r>
    </w:p>
    <w:p w:rsidR="00AB677A" w:rsidRPr="00273D1F" w:rsidRDefault="00AB677A" w:rsidP="004F0D64">
      <w:pPr>
        <w:spacing w:after="0" w:line="240" w:lineRule="auto"/>
        <w:rPr>
          <w:rFonts w:cstheme="minorHAnsi"/>
        </w:rPr>
      </w:pPr>
      <w:r w:rsidRPr="00273D1F">
        <w:rPr>
          <w:rFonts w:cstheme="minorHAnsi"/>
        </w:rPr>
        <w:t xml:space="preserve">              </w:t>
      </w:r>
      <w:hyperlink r:id="rId13" w:history="1">
        <w:r w:rsidRPr="00273D1F">
          <w:rPr>
            <w:rStyle w:val="Hyperlink"/>
            <w:rFonts w:cstheme="minorHAnsi"/>
          </w:rPr>
          <w:t>http://www.helpage.org/global-agewatch/?gclid=CKTh3vKQpMACFUTkwgodaVIALg</w:t>
        </w:r>
      </w:hyperlink>
    </w:p>
    <w:p w:rsidR="00AB677A" w:rsidRPr="00273D1F" w:rsidRDefault="00AB677A" w:rsidP="004F0D64">
      <w:pPr>
        <w:pStyle w:val="ListParagraph"/>
        <w:spacing w:after="0" w:line="240" w:lineRule="auto"/>
        <w:rPr>
          <w:rFonts w:cstheme="minorHAnsi"/>
          <w:b/>
        </w:rPr>
      </w:pPr>
    </w:p>
    <w:p w:rsidR="00AB677A" w:rsidRPr="00273D1F" w:rsidRDefault="00AB677A" w:rsidP="004F0D64">
      <w:pPr>
        <w:numPr>
          <w:ilvl w:val="0"/>
          <w:numId w:val="7"/>
        </w:numPr>
        <w:spacing w:after="0" w:line="240" w:lineRule="auto"/>
        <w:rPr>
          <w:rFonts w:cstheme="minorHAnsi"/>
          <w:b/>
        </w:rPr>
      </w:pPr>
      <w:r w:rsidRPr="00273D1F">
        <w:rPr>
          <w:rFonts w:cstheme="minorHAnsi"/>
          <w:b/>
        </w:rPr>
        <w:t>Construction of the Index</w:t>
      </w:r>
    </w:p>
    <w:p w:rsidR="00AB677A" w:rsidRPr="00273D1F" w:rsidRDefault="00AB677A" w:rsidP="004F0D64">
      <w:pPr>
        <w:spacing w:after="0" w:line="240" w:lineRule="auto"/>
        <w:rPr>
          <w:rFonts w:cstheme="minorHAnsi"/>
        </w:rPr>
      </w:pPr>
      <w:r w:rsidRPr="00273D1F">
        <w:rPr>
          <w:rFonts w:cstheme="minorHAnsi"/>
        </w:rPr>
        <w:t xml:space="preserve">The Index provides an overview of the quality of life experienced by older people in 96 countries. A dashboard of thirteen separate indicators has been put together under the four domains of income security, health, </w:t>
      </w:r>
      <w:r w:rsidR="005227EC">
        <w:rPr>
          <w:rFonts w:cstheme="minorHAnsi"/>
        </w:rPr>
        <w:t xml:space="preserve">capability </w:t>
      </w:r>
      <w:r w:rsidRPr="00273D1F">
        <w:rPr>
          <w:rFonts w:cstheme="minorHAnsi"/>
        </w:rPr>
        <w:t xml:space="preserve">and enabling environment. Together this information measures the economic, social and political elements that interact to create a healthy environment for later life. </w:t>
      </w:r>
    </w:p>
    <w:p w:rsidR="00AB677A" w:rsidRPr="00273D1F" w:rsidRDefault="00AB677A" w:rsidP="004F0D64">
      <w:pPr>
        <w:spacing w:after="0" w:line="240" w:lineRule="auto"/>
        <w:rPr>
          <w:rFonts w:eastAsia="Calibri" w:cstheme="minorHAnsi"/>
        </w:rPr>
      </w:pPr>
    </w:p>
    <w:p w:rsidR="00AB677A" w:rsidRDefault="00AB677A" w:rsidP="004F0D64">
      <w:pPr>
        <w:spacing w:after="0" w:line="240" w:lineRule="auto"/>
        <w:rPr>
          <w:rFonts w:eastAsia="Calibri" w:cstheme="minorHAnsi"/>
        </w:rPr>
      </w:pPr>
      <w:r w:rsidRPr="00273D1F">
        <w:rPr>
          <w:rFonts w:eastAsia="Calibri" w:cstheme="minorHAnsi"/>
        </w:rPr>
        <w:t xml:space="preserve">The Global AgeWatch Index has been created because </w:t>
      </w:r>
      <w:r w:rsidR="00FC4EA2">
        <w:rPr>
          <w:rFonts w:eastAsia="Calibri" w:cstheme="minorHAnsi"/>
        </w:rPr>
        <w:t xml:space="preserve">of </w:t>
      </w:r>
      <w:r w:rsidRPr="00273D1F">
        <w:rPr>
          <w:rFonts w:eastAsia="Calibri" w:cstheme="minorHAnsi"/>
        </w:rPr>
        <w:t>the overall lack of</w:t>
      </w:r>
      <w:r w:rsidR="00B00010">
        <w:rPr>
          <w:rFonts w:eastAsia="Calibri" w:cstheme="minorHAnsi"/>
        </w:rPr>
        <w:t xml:space="preserve"> information</w:t>
      </w:r>
      <w:r w:rsidRPr="00273D1F">
        <w:rPr>
          <w:rFonts w:eastAsia="Calibri" w:cstheme="minorHAnsi"/>
        </w:rPr>
        <w:t xml:space="preserve"> </w:t>
      </w:r>
      <w:r w:rsidR="00FC4EA2">
        <w:rPr>
          <w:rFonts w:eastAsia="Calibri" w:cstheme="minorHAnsi"/>
        </w:rPr>
        <w:t xml:space="preserve">on ageing </w:t>
      </w:r>
      <w:r w:rsidRPr="00273D1F">
        <w:rPr>
          <w:rFonts w:eastAsia="Calibri" w:cstheme="minorHAnsi"/>
        </w:rPr>
        <w:t>combined with poor understand</w:t>
      </w:r>
      <w:r w:rsidR="00B00010">
        <w:rPr>
          <w:rFonts w:eastAsia="Calibri" w:cstheme="minorHAnsi"/>
        </w:rPr>
        <w:t>ing of the effects of</w:t>
      </w:r>
      <w:r w:rsidRPr="00273D1F">
        <w:rPr>
          <w:rFonts w:eastAsia="Calibri" w:cstheme="minorHAnsi"/>
        </w:rPr>
        <w:t xml:space="preserve"> ageing </w:t>
      </w:r>
      <w:r w:rsidR="00B00010">
        <w:rPr>
          <w:rFonts w:eastAsia="Calibri" w:cstheme="minorHAnsi"/>
        </w:rPr>
        <w:t>on</w:t>
      </w:r>
      <w:r w:rsidRPr="00273D1F">
        <w:rPr>
          <w:rFonts w:eastAsia="Calibri" w:cstheme="minorHAnsi"/>
        </w:rPr>
        <w:t xml:space="preserve"> exclusion and mar</w:t>
      </w:r>
      <w:r w:rsidR="00FC4EA2">
        <w:rPr>
          <w:rFonts w:eastAsia="Calibri" w:cstheme="minorHAnsi"/>
        </w:rPr>
        <w:t xml:space="preserve">ginalisation in </w:t>
      </w:r>
      <w:r w:rsidR="00B00010">
        <w:rPr>
          <w:rFonts w:eastAsia="Calibri" w:cstheme="minorHAnsi"/>
        </w:rPr>
        <w:t>services such as</w:t>
      </w:r>
      <w:r w:rsidRPr="00273D1F">
        <w:rPr>
          <w:rFonts w:eastAsia="Calibri" w:cstheme="minorHAnsi"/>
        </w:rPr>
        <w:t xml:space="preserve"> health</w:t>
      </w:r>
      <w:r w:rsidR="00B00010">
        <w:rPr>
          <w:rFonts w:eastAsia="Calibri" w:cstheme="minorHAnsi"/>
        </w:rPr>
        <w:t xml:space="preserve"> care</w:t>
      </w:r>
      <w:r w:rsidR="00321E70">
        <w:rPr>
          <w:rFonts w:eastAsia="Calibri" w:cstheme="minorHAnsi"/>
        </w:rPr>
        <w:t>, education, training and</w:t>
      </w:r>
      <w:r w:rsidR="005B3877">
        <w:rPr>
          <w:rFonts w:eastAsia="Calibri" w:cstheme="minorHAnsi"/>
        </w:rPr>
        <w:t xml:space="preserve"> pension provision</w:t>
      </w:r>
      <w:r w:rsidRPr="00273D1F">
        <w:rPr>
          <w:rFonts w:eastAsia="Calibri" w:cstheme="minorHAnsi"/>
        </w:rPr>
        <w:t xml:space="preserve">. </w:t>
      </w:r>
    </w:p>
    <w:p w:rsidR="005B3877" w:rsidRPr="00273D1F" w:rsidRDefault="005B3877" w:rsidP="004F0D64">
      <w:pPr>
        <w:spacing w:after="0" w:line="240" w:lineRule="auto"/>
        <w:rPr>
          <w:rFonts w:eastAsia="Cambria" w:cstheme="minorHAnsi"/>
          <w:b/>
        </w:rPr>
      </w:pPr>
    </w:p>
    <w:p w:rsidR="00AB677A" w:rsidRPr="00273D1F" w:rsidRDefault="00AB677A" w:rsidP="004F0D64">
      <w:pPr>
        <w:spacing w:after="0" w:line="240" w:lineRule="auto"/>
        <w:rPr>
          <w:rFonts w:cstheme="minorHAnsi"/>
          <w:b/>
        </w:rPr>
      </w:pPr>
      <w:r w:rsidRPr="00273D1F">
        <w:rPr>
          <w:rFonts w:cstheme="minorHAnsi"/>
          <w:b/>
        </w:rPr>
        <w:t>HelpAge has developed the Index as a way to:</w:t>
      </w:r>
    </w:p>
    <w:p w:rsidR="00AB677A" w:rsidRPr="00273D1F" w:rsidRDefault="00AB677A" w:rsidP="004F0D64">
      <w:pPr>
        <w:numPr>
          <w:ilvl w:val="0"/>
          <w:numId w:val="1"/>
        </w:numPr>
        <w:spacing w:after="0" w:line="240" w:lineRule="auto"/>
        <w:ind w:left="1080"/>
        <w:rPr>
          <w:rFonts w:cstheme="minorHAnsi"/>
        </w:rPr>
      </w:pPr>
      <w:r w:rsidRPr="00273D1F">
        <w:rPr>
          <w:rFonts w:cstheme="minorHAnsi"/>
        </w:rPr>
        <w:t xml:space="preserve">Democratise international data by presenting it in a form that assists governments and policy makers to develop their own solutions to the challenges facing their growing older populations.   </w:t>
      </w:r>
    </w:p>
    <w:p w:rsidR="00AB677A" w:rsidRPr="00273D1F" w:rsidRDefault="00AB677A" w:rsidP="004F0D64">
      <w:pPr>
        <w:numPr>
          <w:ilvl w:val="0"/>
          <w:numId w:val="1"/>
        </w:numPr>
        <w:spacing w:after="0" w:line="240" w:lineRule="auto"/>
        <w:ind w:left="1080"/>
        <w:rPr>
          <w:rFonts w:cstheme="minorHAnsi"/>
        </w:rPr>
      </w:pPr>
      <w:r w:rsidRPr="00273D1F">
        <w:rPr>
          <w:rFonts w:cstheme="minorHAnsi"/>
        </w:rPr>
        <w:t xml:space="preserve">Highlight data gaps in terms of both countries and areas of life relevant to the wellbeing of older people. </w:t>
      </w:r>
    </w:p>
    <w:p w:rsidR="00AB677A" w:rsidRPr="00273D1F" w:rsidRDefault="00AB677A" w:rsidP="004F0D64">
      <w:pPr>
        <w:numPr>
          <w:ilvl w:val="0"/>
          <w:numId w:val="1"/>
        </w:numPr>
        <w:spacing w:after="0" w:line="240" w:lineRule="auto"/>
        <w:ind w:left="1080"/>
        <w:rPr>
          <w:rFonts w:cstheme="minorHAnsi"/>
        </w:rPr>
      </w:pPr>
      <w:r w:rsidRPr="00273D1F">
        <w:rPr>
          <w:rFonts w:cstheme="minorHAnsi"/>
        </w:rPr>
        <w:t xml:space="preserve">Broaden policy makers’ understanding of the needs of older people to help us realise the multidimensional nature of later life. </w:t>
      </w:r>
    </w:p>
    <w:p w:rsidR="00AB677A" w:rsidRPr="00273D1F" w:rsidRDefault="00AB677A" w:rsidP="004F0D64">
      <w:pPr>
        <w:numPr>
          <w:ilvl w:val="0"/>
          <w:numId w:val="1"/>
        </w:numPr>
        <w:spacing w:after="0" w:line="240" w:lineRule="auto"/>
        <w:ind w:left="1080"/>
        <w:rPr>
          <w:rFonts w:cstheme="minorHAnsi"/>
        </w:rPr>
      </w:pPr>
      <w:r w:rsidRPr="00273D1F">
        <w:rPr>
          <w:rFonts w:cstheme="minorHAnsi"/>
        </w:rPr>
        <w:t xml:space="preserve">Provide countries with a baseline from which to measure future </w:t>
      </w:r>
      <w:r w:rsidR="00EC2143">
        <w:rPr>
          <w:rFonts w:cstheme="minorHAnsi"/>
        </w:rPr>
        <w:t>progress and to learn from one an</w:t>
      </w:r>
      <w:r w:rsidRPr="00273D1F">
        <w:rPr>
          <w:rFonts w:cstheme="minorHAnsi"/>
        </w:rPr>
        <w:t>other.</w:t>
      </w:r>
    </w:p>
    <w:p w:rsidR="00AB677A" w:rsidRPr="00273D1F" w:rsidRDefault="00AB677A" w:rsidP="004F0D64">
      <w:pPr>
        <w:spacing w:after="0" w:line="240" w:lineRule="auto"/>
        <w:rPr>
          <w:rFonts w:cstheme="minorHAnsi"/>
          <w:color w:val="000000" w:themeColor="text1"/>
        </w:rPr>
      </w:pPr>
    </w:p>
    <w:p w:rsidR="00AB677A" w:rsidRPr="00273D1F" w:rsidRDefault="00AB677A" w:rsidP="004F0D64">
      <w:pPr>
        <w:spacing w:after="0" w:line="240" w:lineRule="auto"/>
        <w:rPr>
          <w:rFonts w:eastAsia="Cambria" w:cstheme="minorHAnsi"/>
        </w:rPr>
      </w:pPr>
      <w:r w:rsidRPr="00273D1F">
        <w:rPr>
          <w:rFonts w:cstheme="minorHAnsi"/>
        </w:rPr>
        <w:lastRenderedPageBreak/>
        <w:t xml:space="preserve">The Index is a long-term project to be updated with an annual ‘age’ report focusing on a key trend or element each year. </w:t>
      </w:r>
      <w:r w:rsidRPr="00273D1F">
        <w:rPr>
          <w:rFonts w:eastAsia="Cambria" w:cstheme="minorHAnsi"/>
        </w:rPr>
        <w:t>The main target audiences include governments, policy makers, UN agencies, development agencies, HelpAge Affiliates and partners, community organisations and campaign groups, civil society networks and coalitions, older people and the general public.</w:t>
      </w:r>
    </w:p>
    <w:p w:rsidR="000A3792" w:rsidRPr="00273D1F" w:rsidRDefault="000A3792" w:rsidP="004F0D64">
      <w:pPr>
        <w:spacing w:after="0" w:line="240" w:lineRule="auto"/>
        <w:rPr>
          <w:rFonts w:eastAsia="Cambria" w:cstheme="minorHAnsi"/>
        </w:rPr>
      </w:pPr>
    </w:p>
    <w:p w:rsidR="00AB677A" w:rsidRPr="00273D1F" w:rsidRDefault="00AB677A" w:rsidP="004F0D64">
      <w:pPr>
        <w:pStyle w:val="ListParagraph"/>
        <w:numPr>
          <w:ilvl w:val="0"/>
          <w:numId w:val="7"/>
        </w:numPr>
        <w:spacing w:after="0" w:line="240" w:lineRule="auto"/>
        <w:rPr>
          <w:rFonts w:cstheme="minorHAnsi"/>
          <w:color w:val="000000" w:themeColor="text1"/>
        </w:rPr>
      </w:pPr>
      <w:r w:rsidRPr="00273D1F">
        <w:rPr>
          <w:rFonts w:cstheme="minorHAnsi"/>
          <w:b/>
          <w:color w:val="000000" w:themeColor="text1"/>
        </w:rPr>
        <w:t>Key countries:</w:t>
      </w:r>
      <w:r w:rsidRPr="00273D1F">
        <w:rPr>
          <w:rFonts w:cstheme="minorHAnsi"/>
          <w:color w:val="000000" w:themeColor="text1"/>
        </w:rPr>
        <w:t xml:space="preserve"> HelpAge can develop stories, provide case studie</w:t>
      </w:r>
      <w:r w:rsidR="00335DA5" w:rsidRPr="00273D1F">
        <w:rPr>
          <w:rFonts w:cstheme="minorHAnsi"/>
          <w:color w:val="000000" w:themeColor="text1"/>
        </w:rPr>
        <w:t>s and organise media visits to undertake</w:t>
      </w:r>
      <w:r w:rsidR="001B6A22">
        <w:rPr>
          <w:rFonts w:cstheme="minorHAnsi"/>
          <w:color w:val="000000" w:themeColor="text1"/>
        </w:rPr>
        <w:t xml:space="preserve"> feature stories relating</w:t>
      </w:r>
      <w:r w:rsidRPr="00273D1F">
        <w:rPr>
          <w:rFonts w:cstheme="minorHAnsi"/>
          <w:color w:val="000000" w:themeColor="text1"/>
        </w:rPr>
        <w:t xml:space="preserve"> to the Index:</w:t>
      </w:r>
    </w:p>
    <w:p w:rsidR="00AB677A" w:rsidRDefault="00AB677A" w:rsidP="004F0D64">
      <w:pPr>
        <w:pStyle w:val="ListParagraph"/>
        <w:numPr>
          <w:ilvl w:val="0"/>
          <w:numId w:val="15"/>
        </w:numPr>
        <w:spacing w:after="0" w:line="240" w:lineRule="auto"/>
        <w:rPr>
          <w:rFonts w:cstheme="minorHAnsi"/>
          <w:color w:val="000000" w:themeColor="text1"/>
        </w:rPr>
      </w:pPr>
      <w:r w:rsidRPr="00273D1F">
        <w:rPr>
          <w:rFonts w:cstheme="minorHAnsi"/>
          <w:color w:val="000000" w:themeColor="text1"/>
        </w:rPr>
        <w:t>Norway</w:t>
      </w:r>
      <w:r w:rsidR="0010337A">
        <w:rPr>
          <w:rFonts w:cstheme="minorHAnsi"/>
          <w:color w:val="000000" w:themeColor="text1"/>
        </w:rPr>
        <w:t xml:space="preserve"> </w:t>
      </w:r>
      <w:r w:rsidRPr="00273D1F">
        <w:rPr>
          <w:rFonts w:cstheme="minorHAnsi"/>
          <w:color w:val="000000" w:themeColor="text1"/>
        </w:rPr>
        <w:t xml:space="preserve">(Number one ranking in the Global Age Watch Index) </w:t>
      </w:r>
    </w:p>
    <w:p w:rsidR="00B16C6F" w:rsidRDefault="00B16C6F" w:rsidP="004F0D64">
      <w:pPr>
        <w:pStyle w:val="ListParagraph"/>
        <w:numPr>
          <w:ilvl w:val="0"/>
          <w:numId w:val="15"/>
        </w:numPr>
        <w:spacing w:after="0" w:line="240" w:lineRule="auto"/>
        <w:rPr>
          <w:rFonts w:cstheme="minorHAnsi"/>
          <w:color w:val="000000" w:themeColor="text1"/>
        </w:rPr>
      </w:pPr>
      <w:r>
        <w:rPr>
          <w:rFonts w:cstheme="minorHAnsi"/>
          <w:color w:val="000000" w:themeColor="text1"/>
        </w:rPr>
        <w:t>Sweden (2)</w:t>
      </w:r>
      <w:r w:rsidR="006C6EE6">
        <w:rPr>
          <w:rFonts w:cstheme="minorHAnsi"/>
          <w:color w:val="000000" w:themeColor="text1"/>
        </w:rPr>
        <w:t xml:space="preserve"> </w:t>
      </w:r>
      <w:r w:rsidR="00E37B26">
        <w:rPr>
          <w:rFonts w:cstheme="minorHAnsi"/>
          <w:color w:val="000000" w:themeColor="text1"/>
        </w:rPr>
        <w:t>Still positive despite fall from top</w:t>
      </w:r>
    </w:p>
    <w:p w:rsidR="00B16C6F" w:rsidRPr="00273D1F" w:rsidRDefault="00B16C6F" w:rsidP="004F0D64">
      <w:pPr>
        <w:pStyle w:val="ListParagraph"/>
        <w:numPr>
          <w:ilvl w:val="0"/>
          <w:numId w:val="15"/>
        </w:numPr>
        <w:spacing w:after="0" w:line="240" w:lineRule="auto"/>
        <w:rPr>
          <w:rFonts w:cstheme="minorHAnsi"/>
          <w:color w:val="000000" w:themeColor="text1"/>
        </w:rPr>
      </w:pPr>
      <w:r>
        <w:rPr>
          <w:rFonts w:cstheme="minorHAnsi"/>
          <w:color w:val="000000" w:themeColor="text1"/>
        </w:rPr>
        <w:t xml:space="preserve">Bangladesh (59) </w:t>
      </w:r>
      <w:r w:rsidRPr="000E22A1">
        <w:rPr>
          <w:rFonts w:cstheme="minorHAnsi"/>
          <w:color w:val="000000" w:themeColor="text1"/>
          <w:u w:val="single"/>
        </w:rPr>
        <w:t xml:space="preserve">new </w:t>
      </w:r>
      <w:r w:rsidR="007F44AB" w:rsidRPr="000E22A1">
        <w:rPr>
          <w:rFonts w:cstheme="minorHAnsi"/>
          <w:color w:val="000000" w:themeColor="text1"/>
          <w:u w:val="single"/>
        </w:rPr>
        <w:t xml:space="preserve">to the Index </w:t>
      </w:r>
      <w:r w:rsidRPr="000E22A1">
        <w:rPr>
          <w:rFonts w:cstheme="minorHAnsi"/>
          <w:color w:val="000000" w:themeColor="text1"/>
          <w:u w:val="single"/>
        </w:rPr>
        <w:t>this year</w:t>
      </w:r>
    </w:p>
    <w:p w:rsidR="00AB677A" w:rsidRPr="00892581" w:rsidRDefault="0010337A" w:rsidP="004F0D64">
      <w:pPr>
        <w:pStyle w:val="ListParagraph"/>
        <w:numPr>
          <w:ilvl w:val="0"/>
          <w:numId w:val="15"/>
        </w:numPr>
        <w:spacing w:after="0" w:line="240" w:lineRule="auto"/>
        <w:rPr>
          <w:rFonts w:cstheme="minorHAnsi"/>
          <w:color w:val="000000" w:themeColor="text1"/>
        </w:rPr>
      </w:pPr>
      <w:r>
        <w:rPr>
          <w:rFonts w:cstheme="minorHAnsi"/>
          <w:color w:val="000000" w:themeColor="text1"/>
        </w:rPr>
        <w:t>Tanzania (</w:t>
      </w:r>
      <w:r w:rsidR="00AB677A" w:rsidRPr="00273D1F">
        <w:rPr>
          <w:rFonts w:cstheme="minorHAnsi"/>
          <w:color w:val="000000" w:themeColor="text1"/>
        </w:rPr>
        <w:t>92)</w:t>
      </w:r>
      <w:r w:rsidR="00892581">
        <w:rPr>
          <w:rFonts w:cstheme="minorHAnsi"/>
          <w:color w:val="000000" w:themeColor="text1"/>
        </w:rPr>
        <w:t xml:space="preserve"> </w:t>
      </w:r>
      <w:r w:rsidR="004A115B">
        <w:rPr>
          <w:rFonts w:cstheme="minorHAnsi"/>
          <w:color w:val="000000" w:themeColor="text1"/>
        </w:rPr>
        <w:t>– Pension promised but older people still waiting</w:t>
      </w:r>
    </w:p>
    <w:p w:rsidR="00AB677A" w:rsidRPr="00273D1F" w:rsidRDefault="0010337A" w:rsidP="004F0D64">
      <w:pPr>
        <w:pStyle w:val="ListParagraph"/>
        <w:numPr>
          <w:ilvl w:val="0"/>
          <w:numId w:val="15"/>
        </w:numPr>
        <w:spacing w:after="0" w:line="240" w:lineRule="auto"/>
        <w:rPr>
          <w:rFonts w:cstheme="minorHAnsi"/>
          <w:color w:val="000000" w:themeColor="text1"/>
        </w:rPr>
      </w:pPr>
      <w:r>
        <w:rPr>
          <w:rFonts w:cstheme="minorHAnsi"/>
          <w:color w:val="000000" w:themeColor="text1"/>
        </w:rPr>
        <w:t>Peru (</w:t>
      </w:r>
      <w:r w:rsidR="000E22A1">
        <w:rPr>
          <w:rFonts w:cstheme="minorHAnsi"/>
          <w:color w:val="000000" w:themeColor="text1"/>
        </w:rPr>
        <w:t>42)</w:t>
      </w:r>
      <w:r w:rsidR="006C6EE6">
        <w:rPr>
          <w:rFonts w:cstheme="minorHAnsi"/>
          <w:color w:val="000000" w:themeColor="text1"/>
        </w:rPr>
        <w:t xml:space="preserve"> W</w:t>
      </w:r>
      <w:r w:rsidR="004A115B">
        <w:rPr>
          <w:rFonts w:cstheme="minorHAnsi"/>
          <w:color w:val="000000" w:themeColor="text1"/>
        </w:rPr>
        <w:t xml:space="preserve">idespread support </w:t>
      </w:r>
      <w:r w:rsidR="00E37B26">
        <w:rPr>
          <w:rFonts w:cstheme="minorHAnsi"/>
          <w:color w:val="000000" w:themeColor="text1"/>
        </w:rPr>
        <w:t>for</w:t>
      </w:r>
      <w:r w:rsidR="006C6EE6">
        <w:rPr>
          <w:rFonts w:cstheme="minorHAnsi"/>
          <w:color w:val="000000" w:themeColor="text1"/>
        </w:rPr>
        <w:t xml:space="preserve"> pension</w:t>
      </w:r>
      <w:r w:rsidR="00E37B26">
        <w:rPr>
          <w:rFonts w:cstheme="minorHAnsi"/>
          <w:color w:val="000000" w:themeColor="text1"/>
        </w:rPr>
        <w:t>s</w:t>
      </w:r>
      <w:r w:rsidR="006C6EE6">
        <w:rPr>
          <w:rFonts w:cstheme="minorHAnsi"/>
          <w:color w:val="000000" w:themeColor="text1"/>
        </w:rPr>
        <w:t xml:space="preserve"> </w:t>
      </w:r>
      <w:r w:rsidR="004A115B">
        <w:rPr>
          <w:rFonts w:cstheme="minorHAnsi"/>
          <w:color w:val="000000" w:themeColor="text1"/>
        </w:rPr>
        <w:t>despite only 6% being eligible</w:t>
      </w:r>
    </w:p>
    <w:p w:rsidR="00C42E0B" w:rsidRDefault="00C42E0B" w:rsidP="004F0D64">
      <w:pPr>
        <w:pStyle w:val="ListParagraph"/>
        <w:numPr>
          <w:ilvl w:val="0"/>
          <w:numId w:val="15"/>
        </w:numPr>
        <w:spacing w:after="0" w:line="240" w:lineRule="auto"/>
        <w:rPr>
          <w:rFonts w:cstheme="minorHAnsi"/>
          <w:color w:val="000000" w:themeColor="text1"/>
        </w:rPr>
      </w:pPr>
      <w:r w:rsidRPr="00273D1F">
        <w:rPr>
          <w:rFonts w:cstheme="minorHAnsi"/>
          <w:color w:val="000000" w:themeColor="text1"/>
        </w:rPr>
        <w:t>Nepal</w:t>
      </w:r>
      <w:r w:rsidR="00344455" w:rsidRPr="00273D1F">
        <w:rPr>
          <w:rFonts w:cstheme="minorHAnsi"/>
          <w:color w:val="000000" w:themeColor="text1"/>
        </w:rPr>
        <w:t xml:space="preserve"> (70)</w:t>
      </w:r>
      <w:r w:rsidR="004A115B">
        <w:rPr>
          <w:rFonts w:cstheme="minorHAnsi"/>
          <w:color w:val="000000" w:themeColor="text1"/>
        </w:rPr>
        <w:t xml:space="preserve"> Low-income country with a pension</w:t>
      </w:r>
    </w:p>
    <w:p w:rsidR="00937E59" w:rsidRPr="00273D1F" w:rsidRDefault="00937E59" w:rsidP="004F0D64">
      <w:pPr>
        <w:pStyle w:val="ListParagraph"/>
        <w:numPr>
          <w:ilvl w:val="0"/>
          <w:numId w:val="15"/>
        </w:numPr>
        <w:spacing w:after="0" w:line="240" w:lineRule="auto"/>
        <w:rPr>
          <w:rFonts w:cstheme="minorHAnsi"/>
          <w:color w:val="000000" w:themeColor="text1"/>
        </w:rPr>
      </w:pPr>
      <w:r>
        <w:rPr>
          <w:rFonts w:cstheme="minorHAnsi"/>
          <w:color w:val="000000" w:themeColor="text1"/>
        </w:rPr>
        <w:t xml:space="preserve">Thailand (36) </w:t>
      </w:r>
      <w:r w:rsidR="006C6EE6">
        <w:rPr>
          <w:rFonts w:cstheme="minorHAnsi"/>
          <w:color w:val="000000" w:themeColor="text1"/>
        </w:rPr>
        <w:t>Pension recently introduced</w:t>
      </w:r>
    </w:p>
    <w:p w:rsidR="002E4EFE" w:rsidRPr="00273D1F" w:rsidRDefault="002E4EFE" w:rsidP="004F0D64">
      <w:pPr>
        <w:spacing w:after="0" w:line="240" w:lineRule="auto"/>
        <w:rPr>
          <w:rFonts w:cstheme="minorHAnsi"/>
          <w:color w:val="000000" w:themeColor="text1"/>
        </w:rPr>
      </w:pPr>
    </w:p>
    <w:p w:rsidR="005421A8" w:rsidRDefault="005421A8" w:rsidP="004F0D64">
      <w:pPr>
        <w:spacing w:after="0" w:line="240" w:lineRule="auto"/>
        <w:rPr>
          <w:rFonts w:cstheme="minorHAnsi"/>
          <w:b/>
        </w:rPr>
      </w:pPr>
      <w:r w:rsidRPr="00273D1F">
        <w:rPr>
          <w:rFonts w:cstheme="minorHAnsi"/>
          <w:b/>
        </w:rPr>
        <w:t>Global Age Watch Index ranking table</w:t>
      </w:r>
    </w:p>
    <w:p w:rsidR="00EF0BA1" w:rsidRDefault="00EF0BA1" w:rsidP="004F0D64">
      <w:pPr>
        <w:spacing w:after="0" w:line="240" w:lineRule="auto"/>
        <w:rPr>
          <w:rFonts w:cstheme="minorHAnsi"/>
          <w:b/>
        </w:rPr>
      </w:pPr>
    </w:p>
    <w:p w:rsidR="007C2E07" w:rsidRPr="00EF0BA1" w:rsidRDefault="0088300E" w:rsidP="004F0D64">
      <w:pPr>
        <w:spacing w:after="0" w:line="240" w:lineRule="auto"/>
        <w:rPr>
          <w:rFonts w:cstheme="minorHAnsi"/>
          <w:b/>
        </w:rPr>
      </w:pPr>
      <w:r>
        <w:rPr>
          <w:rFonts w:cstheme="minorHAnsi"/>
          <w:b/>
        </w:rPr>
        <w:t xml:space="preserve">Norway </w:t>
      </w:r>
      <w:r w:rsidR="00F1770C">
        <w:rPr>
          <w:rFonts w:cstheme="minorHAnsi"/>
          <w:b/>
        </w:rPr>
        <w:t>(1)</w:t>
      </w:r>
      <w:r w:rsidR="00FF0325">
        <w:rPr>
          <w:rFonts w:cstheme="minorHAnsi"/>
          <w:b/>
        </w:rPr>
        <w:t xml:space="preserve"> Sweden (2) Switzerland (3) Canada (4) Germany (5) Netherlands (6) Iceland (7) United </w:t>
      </w:r>
    </w:p>
    <w:p w:rsidR="007C2E07" w:rsidRDefault="00FF0325" w:rsidP="004F0D64">
      <w:pPr>
        <w:spacing w:after="0" w:line="240" w:lineRule="auto"/>
        <w:rPr>
          <w:rFonts w:cstheme="minorHAnsi"/>
        </w:rPr>
      </w:pPr>
      <w:r w:rsidRPr="007C2E07">
        <w:rPr>
          <w:rFonts w:cstheme="minorHAnsi"/>
        </w:rPr>
        <w:t xml:space="preserve">States (8) Japan (9) New Zealand (10) United Kingdom (11) Denmark (12) Australia (13) Austria (14) </w:t>
      </w:r>
    </w:p>
    <w:p w:rsidR="007C2E07" w:rsidRPr="0049285F" w:rsidRDefault="00FF0325" w:rsidP="004F0D64">
      <w:pPr>
        <w:spacing w:after="0" w:line="240" w:lineRule="auto"/>
        <w:rPr>
          <w:rFonts w:cstheme="minorHAnsi"/>
          <w:b/>
        </w:rPr>
      </w:pPr>
      <w:r w:rsidRPr="0049285F">
        <w:rPr>
          <w:rFonts w:cstheme="minorHAnsi"/>
          <w:b/>
        </w:rPr>
        <w:t xml:space="preserve">Finland (15) France (16) Ireland (17) </w:t>
      </w:r>
      <w:r w:rsidR="00C4590E" w:rsidRPr="0049285F">
        <w:rPr>
          <w:rFonts w:cstheme="minorHAnsi"/>
          <w:b/>
        </w:rPr>
        <w:t xml:space="preserve">Israel (18) Luxembourg (19) Estonia (20) Spain (21) Chile (22) </w:t>
      </w:r>
    </w:p>
    <w:p w:rsidR="0088300E" w:rsidRDefault="00C4590E" w:rsidP="004F0D64">
      <w:pPr>
        <w:spacing w:after="0" w:line="240" w:lineRule="auto"/>
        <w:rPr>
          <w:rFonts w:cstheme="minorHAnsi"/>
          <w:color w:val="000000"/>
        </w:rPr>
      </w:pPr>
      <w:r w:rsidRPr="007C2E07">
        <w:rPr>
          <w:rFonts w:cstheme="minorHAnsi"/>
        </w:rPr>
        <w:t>Uruguay (23)</w:t>
      </w:r>
      <w:r w:rsidR="00E94355" w:rsidRPr="007C2E07">
        <w:rPr>
          <w:rFonts w:cstheme="minorHAnsi"/>
        </w:rPr>
        <w:t xml:space="preserve"> Panama</w:t>
      </w:r>
      <w:r w:rsidRPr="007C2E07">
        <w:rPr>
          <w:rFonts w:cstheme="minorHAnsi"/>
        </w:rPr>
        <w:t xml:space="preserve"> (24) </w:t>
      </w:r>
      <w:r w:rsidR="00E94355" w:rsidRPr="007C2E07">
        <w:rPr>
          <w:rFonts w:cstheme="minorHAnsi"/>
        </w:rPr>
        <w:t>Czech Republic (25)</w:t>
      </w:r>
      <w:r w:rsidR="00582075" w:rsidRPr="00582075">
        <w:rPr>
          <w:rFonts w:cstheme="minorHAnsi"/>
        </w:rPr>
        <w:t xml:space="preserve"> </w:t>
      </w:r>
      <w:r w:rsidR="00582075" w:rsidRPr="00273D1F">
        <w:rPr>
          <w:rFonts w:cstheme="minorHAnsi"/>
        </w:rPr>
        <w:t>Costa Rica</w:t>
      </w:r>
      <w:r w:rsidR="00582075">
        <w:rPr>
          <w:rFonts w:cstheme="minorHAnsi"/>
        </w:rPr>
        <w:t xml:space="preserve"> (26)</w:t>
      </w:r>
      <w:r w:rsidR="00582075" w:rsidRPr="00582075">
        <w:rPr>
          <w:rFonts w:cstheme="minorHAnsi"/>
        </w:rPr>
        <w:t xml:space="preserve"> </w:t>
      </w:r>
      <w:r w:rsidR="00582075" w:rsidRPr="00273D1F">
        <w:rPr>
          <w:rFonts w:cstheme="minorHAnsi"/>
        </w:rPr>
        <w:t>Belgium</w:t>
      </w:r>
      <w:r w:rsidR="00582075">
        <w:rPr>
          <w:rFonts w:cstheme="minorHAnsi"/>
        </w:rPr>
        <w:t xml:space="preserve"> (27)</w:t>
      </w:r>
      <w:r w:rsidR="00582075" w:rsidRPr="00582075">
        <w:rPr>
          <w:rFonts w:cstheme="minorHAnsi"/>
        </w:rPr>
        <w:t xml:space="preserve"> </w:t>
      </w:r>
      <w:r w:rsidR="00582075" w:rsidRPr="00273D1F">
        <w:rPr>
          <w:rFonts w:cstheme="minorHAnsi"/>
        </w:rPr>
        <w:t>Georgia</w:t>
      </w:r>
      <w:r w:rsidR="00582075">
        <w:rPr>
          <w:rFonts w:cstheme="minorHAnsi"/>
        </w:rPr>
        <w:t xml:space="preserve"> (28)</w:t>
      </w:r>
      <w:r w:rsidR="00582075" w:rsidRPr="00582075">
        <w:rPr>
          <w:rFonts w:cstheme="minorHAnsi"/>
        </w:rPr>
        <w:t xml:space="preserve"> </w:t>
      </w:r>
      <w:r w:rsidR="00582075" w:rsidRPr="00273D1F">
        <w:rPr>
          <w:rFonts w:cstheme="minorHAnsi"/>
        </w:rPr>
        <w:t>Slovenia</w:t>
      </w:r>
      <w:r w:rsidR="00582075">
        <w:rPr>
          <w:rFonts w:cstheme="minorHAnsi"/>
        </w:rPr>
        <w:t xml:space="preserve"> </w:t>
      </w:r>
      <w:r w:rsidR="00582075" w:rsidRPr="0049285F">
        <w:rPr>
          <w:rFonts w:cstheme="minorHAnsi"/>
          <w:b/>
        </w:rPr>
        <w:t>(29) Mexico (30)</w:t>
      </w:r>
      <w:r w:rsidR="00582075" w:rsidRPr="0049285F">
        <w:rPr>
          <w:rFonts w:cstheme="minorHAnsi"/>
          <w:b/>
          <w:color w:val="000000"/>
        </w:rPr>
        <w:t xml:space="preserve"> Argentina (31)</w:t>
      </w:r>
      <w:r w:rsidR="005E15CE" w:rsidRPr="0049285F">
        <w:rPr>
          <w:rFonts w:cstheme="minorHAnsi"/>
          <w:b/>
          <w:color w:val="000000"/>
        </w:rPr>
        <w:t xml:space="preserve"> Poland (32) Ecuador (33) Cyprus (34) Latvia (35) Thailand (36)</w:t>
      </w:r>
      <w:r w:rsidR="005E15CE" w:rsidRPr="005E15CE">
        <w:rPr>
          <w:rFonts w:cstheme="minorHAnsi"/>
          <w:color w:val="000000"/>
        </w:rPr>
        <w:t xml:space="preserve"> </w:t>
      </w:r>
      <w:r w:rsidR="005E15CE" w:rsidRPr="00273D1F">
        <w:rPr>
          <w:rFonts w:cstheme="minorHAnsi"/>
          <w:color w:val="000000"/>
        </w:rPr>
        <w:t>Portugal</w:t>
      </w:r>
      <w:r w:rsidR="005E15CE">
        <w:rPr>
          <w:rFonts w:cstheme="minorHAnsi"/>
          <w:color w:val="000000"/>
        </w:rPr>
        <w:t xml:space="preserve"> (37)</w:t>
      </w:r>
      <w:r w:rsidR="005E15CE" w:rsidRPr="005E15CE">
        <w:rPr>
          <w:rFonts w:cstheme="minorHAnsi"/>
          <w:color w:val="000000"/>
        </w:rPr>
        <w:t xml:space="preserve"> </w:t>
      </w:r>
      <w:r w:rsidR="005E15CE" w:rsidRPr="00273D1F">
        <w:rPr>
          <w:rFonts w:cstheme="minorHAnsi"/>
          <w:color w:val="000000"/>
        </w:rPr>
        <w:t>Mauritius</w:t>
      </w:r>
      <w:r w:rsidR="005E15CE">
        <w:rPr>
          <w:rFonts w:cstheme="minorHAnsi"/>
          <w:color w:val="000000"/>
        </w:rPr>
        <w:t xml:space="preserve"> (38)</w:t>
      </w:r>
      <w:r w:rsidR="005E15CE" w:rsidRPr="005E15CE">
        <w:rPr>
          <w:rFonts w:cstheme="minorHAnsi"/>
          <w:color w:val="000000"/>
        </w:rPr>
        <w:t xml:space="preserve"> </w:t>
      </w:r>
      <w:r w:rsidR="005E15CE" w:rsidRPr="00273D1F">
        <w:rPr>
          <w:rFonts w:cstheme="minorHAnsi"/>
          <w:color w:val="000000"/>
        </w:rPr>
        <w:t>Italy</w:t>
      </w:r>
      <w:r w:rsidR="005E15CE">
        <w:rPr>
          <w:rFonts w:cstheme="minorHAnsi"/>
          <w:color w:val="000000"/>
        </w:rPr>
        <w:t xml:space="preserve"> (39) Armenia (40)</w:t>
      </w:r>
      <w:r w:rsidR="005E15CE" w:rsidRPr="005E15CE">
        <w:rPr>
          <w:rFonts w:cstheme="minorHAnsi"/>
          <w:color w:val="000000"/>
        </w:rPr>
        <w:t xml:space="preserve"> </w:t>
      </w:r>
      <w:r w:rsidR="005E15CE" w:rsidRPr="00273D1F">
        <w:rPr>
          <w:rFonts w:cstheme="minorHAnsi"/>
          <w:color w:val="000000"/>
        </w:rPr>
        <w:t>Romania</w:t>
      </w:r>
      <w:r w:rsidR="005E15CE">
        <w:rPr>
          <w:rFonts w:cstheme="minorHAnsi"/>
          <w:color w:val="000000"/>
        </w:rPr>
        <w:t xml:space="preserve"> (41)</w:t>
      </w:r>
      <w:r w:rsidR="004A5502">
        <w:rPr>
          <w:rFonts w:cstheme="minorHAnsi"/>
          <w:color w:val="000000"/>
        </w:rPr>
        <w:t xml:space="preserve"> Peru (42) Sri Lanka (43)</w:t>
      </w:r>
      <w:r w:rsidR="00C94D60">
        <w:rPr>
          <w:rFonts w:cstheme="minorHAnsi"/>
          <w:color w:val="000000"/>
        </w:rPr>
        <w:t xml:space="preserve"> Philippines </w:t>
      </w:r>
      <w:r w:rsidR="00C94D60" w:rsidRPr="00A16E18">
        <w:rPr>
          <w:rFonts w:cstheme="minorHAnsi"/>
          <w:b/>
          <w:color w:val="000000"/>
        </w:rPr>
        <w:t>(44) Viet Nam (45) Hungary (46) Slovakia (47)</w:t>
      </w:r>
      <w:r w:rsidR="003A5C48" w:rsidRPr="00A16E18">
        <w:rPr>
          <w:rFonts w:cstheme="minorHAnsi"/>
          <w:b/>
          <w:color w:val="000000"/>
        </w:rPr>
        <w:t xml:space="preserve"> China (48) Kyrgyzstan (49) </w:t>
      </w:r>
      <w:r w:rsidR="00783AA3">
        <w:rPr>
          <w:rFonts w:cstheme="minorHAnsi"/>
          <w:b/>
          <w:color w:val="000000"/>
        </w:rPr>
        <w:t xml:space="preserve">South </w:t>
      </w:r>
      <w:r w:rsidR="003A5C48" w:rsidRPr="00A16E18">
        <w:rPr>
          <w:rFonts w:cstheme="minorHAnsi"/>
          <w:b/>
          <w:color w:val="000000"/>
        </w:rPr>
        <w:t>Korea (50)</w:t>
      </w:r>
      <w:r w:rsidR="00DB25E0" w:rsidRPr="00A16E18">
        <w:rPr>
          <w:rFonts w:cstheme="minorHAnsi"/>
          <w:b/>
          <w:color w:val="000000"/>
        </w:rPr>
        <w:t xml:space="preserve"> Bolivia (51)</w:t>
      </w:r>
      <w:r w:rsidR="00DB25E0">
        <w:rPr>
          <w:rFonts w:cstheme="minorHAnsi"/>
          <w:color w:val="000000"/>
        </w:rPr>
        <w:t xml:space="preserve"> Columbia (52</w:t>
      </w:r>
      <w:r w:rsidR="003A5C48">
        <w:rPr>
          <w:rFonts w:cstheme="minorHAnsi"/>
          <w:color w:val="000000"/>
        </w:rPr>
        <w:t>)</w:t>
      </w:r>
      <w:r w:rsidR="003504E9">
        <w:rPr>
          <w:rFonts w:cstheme="minorHAnsi"/>
          <w:color w:val="000000"/>
        </w:rPr>
        <w:t xml:space="preserve"> Albania (53) Nicaragua (54)</w:t>
      </w:r>
      <w:r w:rsidR="00D53ACE">
        <w:rPr>
          <w:rFonts w:cstheme="minorHAnsi"/>
          <w:color w:val="000000"/>
        </w:rPr>
        <w:t xml:space="preserve"> Malta (55) Bulgaria (56)</w:t>
      </w:r>
      <w:r w:rsidR="00F12620">
        <w:rPr>
          <w:rFonts w:cstheme="minorHAnsi"/>
          <w:color w:val="000000"/>
        </w:rPr>
        <w:t xml:space="preserve"> El Salvador (57) Brazil (58)</w:t>
      </w:r>
      <w:r w:rsidR="002F17D6">
        <w:rPr>
          <w:rFonts w:cstheme="minorHAnsi"/>
          <w:color w:val="000000"/>
        </w:rPr>
        <w:t xml:space="preserve"> </w:t>
      </w:r>
      <w:r w:rsidR="002F17D6" w:rsidRPr="00A16E18">
        <w:rPr>
          <w:rFonts w:cstheme="minorHAnsi"/>
          <w:b/>
          <w:color w:val="000000"/>
        </w:rPr>
        <w:t>Bangladesh (59)</w:t>
      </w:r>
      <w:r w:rsidR="00DC175C" w:rsidRPr="00A16E18">
        <w:rPr>
          <w:rFonts w:cstheme="minorHAnsi"/>
          <w:b/>
          <w:color w:val="000000"/>
        </w:rPr>
        <w:t xml:space="preserve"> Lithuania (60) Tajikistan (61)</w:t>
      </w:r>
      <w:r w:rsidR="007C2E07" w:rsidRPr="00A16E18">
        <w:rPr>
          <w:rFonts w:cstheme="minorHAnsi"/>
          <w:b/>
          <w:color w:val="000000"/>
        </w:rPr>
        <w:t xml:space="preserve"> Dominican Republic (62)</w:t>
      </w:r>
      <w:r w:rsidR="00A16E18" w:rsidRPr="00A16E18">
        <w:rPr>
          <w:rFonts w:cstheme="minorHAnsi"/>
          <w:color w:val="000000"/>
        </w:rPr>
        <w:t xml:space="preserve"> </w:t>
      </w:r>
      <w:r w:rsidR="00A16E18" w:rsidRPr="00A16E18">
        <w:rPr>
          <w:rFonts w:cstheme="minorHAnsi"/>
          <w:b/>
          <w:color w:val="000000"/>
        </w:rPr>
        <w:t>Guatemala (63) Belarus (64)</w:t>
      </w:r>
      <w:r w:rsidR="00606651">
        <w:rPr>
          <w:rFonts w:cstheme="minorHAnsi"/>
          <w:color w:val="000000"/>
        </w:rPr>
        <w:t xml:space="preserve"> Russian</w:t>
      </w:r>
      <w:r w:rsidR="00A16E18">
        <w:rPr>
          <w:rFonts w:cstheme="minorHAnsi"/>
          <w:color w:val="000000"/>
        </w:rPr>
        <w:t xml:space="preserve"> (65) Paraguay (66)</w:t>
      </w:r>
      <w:r w:rsidR="00660054">
        <w:rPr>
          <w:rFonts w:cstheme="minorHAnsi"/>
          <w:color w:val="000000"/>
        </w:rPr>
        <w:t xml:space="preserve"> Croatia (67) Montenegr</w:t>
      </w:r>
      <w:r w:rsidR="00CE3D5E">
        <w:rPr>
          <w:rFonts w:cstheme="minorHAnsi"/>
          <w:color w:val="000000"/>
        </w:rPr>
        <w:t>o (</w:t>
      </w:r>
      <w:r w:rsidR="00660054">
        <w:rPr>
          <w:rFonts w:cstheme="minorHAnsi"/>
          <w:color w:val="000000"/>
        </w:rPr>
        <w:t xml:space="preserve">68) </w:t>
      </w:r>
      <w:r w:rsidR="00CE3D5E">
        <w:rPr>
          <w:rFonts w:cstheme="minorHAnsi"/>
          <w:color w:val="000000"/>
        </w:rPr>
        <w:t xml:space="preserve">India (69) Nepal (70) Indonesia </w:t>
      </w:r>
      <w:r w:rsidR="00CE3D5E" w:rsidRPr="00853C3F">
        <w:rPr>
          <w:rFonts w:cstheme="minorHAnsi"/>
          <w:b/>
          <w:color w:val="000000"/>
        </w:rPr>
        <w:t xml:space="preserve">(71) Mongolia </w:t>
      </w:r>
      <w:r w:rsidR="00853C3F" w:rsidRPr="00853C3F">
        <w:rPr>
          <w:rFonts w:cstheme="minorHAnsi"/>
          <w:b/>
          <w:color w:val="000000"/>
        </w:rPr>
        <w:t>(72) Greece (73) Moldova (74) Honduras (75) Venezuela (76) Turkey (77) Serbia (78)</w:t>
      </w:r>
      <w:r w:rsidR="00853C3F">
        <w:rPr>
          <w:rFonts w:cstheme="minorHAnsi"/>
          <w:color w:val="000000"/>
        </w:rPr>
        <w:t xml:space="preserve"> Cambodia (79)</w:t>
      </w:r>
      <w:r w:rsidR="001230C4" w:rsidRPr="001230C4">
        <w:rPr>
          <w:rFonts w:cstheme="minorHAnsi"/>
        </w:rPr>
        <w:t xml:space="preserve"> </w:t>
      </w:r>
      <w:r w:rsidR="001230C4" w:rsidRPr="00273D1F">
        <w:rPr>
          <w:rFonts w:cstheme="minorHAnsi"/>
        </w:rPr>
        <w:t>South Africa</w:t>
      </w:r>
      <w:r w:rsidR="001230C4">
        <w:rPr>
          <w:rFonts w:cstheme="minorHAnsi"/>
        </w:rPr>
        <w:t xml:space="preserve"> (80)</w:t>
      </w:r>
      <w:r w:rsidR="001230C4" w:rsidRPr="001230C4">
        <w:rPr>
          <w:rFonts w:cstheme="minorHAnsi"/>
          <w:color w:val="000000"/>
        </w:rPr>
        <w:t xml:space="preserve"> </w:t>
      </w:r>
      <w:r w:rsidR="001230C4" w:rsidRPr="00273D1F">
        <w:rPr>
          <w:rFonts w:cstheme="minorHAnsi"/>
          <w:color w:val="000000"/>
        </w:rPr>
        <w:t>Ghana</w:t>
      </w:r>
      <w:r w:rsidR="001230C4">
        <w:rPr>
          <w:rFonts w:cstheme="minorHAnsi"/>
          <w:color w:val="000000"/>
        </w:rPr>
        <w:t xml:space="preserve"> (81)</w:t>
      </w:r>
      <w:r w:rsidR="001230C4" w:rsidRPr="001230C4">
        <w:rPr>
          <w:rFonts w:cstheme="minorHAnsi"/>
          <w:color w:val="000000"/>
        </w:rPr>
        <w:t xml:space="preserve"> </w:t>
      </w:r>
      <w:r w:rsidR="001230C4" w:rsidRPr="00273D1F">
        <w:rPr>
          <w:rFonts w:cstheme="minorHAnsi"/>
          <w:color w:val="000000"/>
        </w:rPr>
        <w:t>Ukraine</w:t>
      </w:r>
      <w:r w:rsidR="001230C4">
        <w:rPr>
          <w:rFonts w:cstheme="minorHAnsi"/>
          <w:color w:val="000000"/>
        </w:rPr>
        <w:t xml:space="preserve"> (82)</w:t>
      </w:r>
      <w:r w:rsidR="001230C4" w:rsidRPr="001230C4">
        <w:rPr>
          <w:rFonts w:cstheme="minorHAnsi"/>
          <w:color w:val="000000"/>
        </w:rPr>
        <w:t xml:space="preserve"> </w:t>
      </w:r>
      <w:r w:rsidR="001230C4" w:rsidRPr="00273D1F">
        <w:rPr>
          <w:rFonts w:cstheme="minorHAnsi"/>
          <w:color w:val="000000"/>
        </w:rPr>
        <w:t>Morocco</w:t>
      </w:r>
      <w:r w:rsidR="001230C4">
        <w:rPr>
          <w:rFonts w:cstheme="minorHAnsi"/>
          <w:color w:val="000000"/>
        </w:rPr>
        <w:t xml:space="preserve"> (83)</w:t>
      </w:r>
      <w:r w:rsidR="001230C4" w:rsidRPr="001230C4">
        <w:rPr>
          <w:rFonts w:cstheme="minorHAnsi"/>
          <w:color w:val="000000"/>
        </w:rPr>
        <w:t xml:space="preserve"> </w:t>
      </w:r>
      <w:r w:rsidR="001230C4" w:rsidRPr="00273D1F">
        <w:rPr>
          <w:rFonts w:cstheme="minorHAnsi"/>
          <w:color w:val="000000"/>
        </w:rPr>
        <w:t>Lao PDR</w:t>
      </w:r>
      <w:r w:rsidR="001230C4">
        <w:rPr>
          <w:rFonts w:cstheme="minorHAnsi"/>
          <w:color w:val="000000"/>
        </w:rPr>
        <w:t xml:space="preserve"> (84)</w:t>
      </w:r>
      <w:r w:rsidR="001230C4" w:rsidRPr="001230C4">
        <w:rPr>
          <w:rFonts w:cstheme="minorHAnsi"/>
          <w:color w:val="000000"/>
        </w:rPr>
        <w:t xml:space="preserve"> </w:t>
      </w:r>
      <w:r w:rsidR="001230C4" w:rsidRPr="00273D1F">
        <w:rPr>
          <w:rFonts w:cstheme="minorHAnsi"/>
          <w:color w:val="000000"/>
        </w:rPr>
        <w:t>Nigeria</w:t>
      </w:r>
      <w:r w:rsidR="001230C4">
        <w:rPr>
          <w:rFonts w:cstheme="minorHAnsi"/>
          <w:color w:val="000000"/>
        </w:rPr>
        <w:t xml:space="preserve"> (85)</w:t>
      </w:r>
    </w:p>
    <w:p w:rsidR="00C965DC" w:rsidRPr="00BA2F1C" w:rsidRDefault="00C965DC" w:rsidP="004F0D64">
      <w:pPr>
        <w:spacing w:after="0" w:line="240" w:lineRule="auto"/>
        <w:rPr>
          <w:rFonts w:cstheme="minorHAnsi"/>
          <w:b/>
          <w:color w:val="000000" w:themeColor="text1"/>
        </w:rPr>
      </w:pPr>
      <w:r w:rsidRPr="00BA2F1C">
        <w:rPr>
          <w:rFonts w:cstheme="minorHAnsi"/>
          <w:b/>
          <w:color w:val="000000"/>
        </w:rPr>
        <w:t>Rwanda (86) Iraq (87)</w:t>
      </w:r>
      <w:r w:rsidR="00FC7FC9" w:rsidRPr="00BA2F1C">
        <w:rPr>
          <w:rFonts w:cstheme="minorHAnsi"/>
          <w:b/>
          <w:color w:val="000000"/>
        </w:rPr>
        <w:t xml:space="preserve"> Zambia</w:t>
      </w:r>
      <w:r w:rsidR="00082D8B" w:rsidRPr="00BA2F1C">
        <w:rPr>
          <w:rFonts w:cstheme="minorHAnsi"/>
          <w:b/>
          <w:color w:val="000000"/>
        </w:rPr>
        <w:t xml:space="preserve"> (88) Uganda (89) Jordan (90) Pakistan (91) Tanzania (92) Malawi (93)</w:t>
      </w:r>
    </w:p>
    <w:p w:rsidR="005421A8" w:rsidRDefault="00082D8B" w:rsidP="004F0D64">
      <w:pPr>
        <w:spacing w:after="0" w:line="240" w:lineRule="auto"/>
        <w:rPr>
          <w:rFonts w:cstheme="minorHAnsi"/>
          <w:b/>
        </w:rPr>
      </w:pPr>
      <w:r w:rsidRPr="00273D1F">
        <w:rPr>
          <w:rFonts w:cstheme="minorHAnsi"/>
          <w:color w:val="000000"/>
        </w:rPr>
        <w:t>West Bank and Gaza</w:t>
      </w:r>
      <w:r w:rsidR="003A5C48">
        <w:rPr>
          <w:rFonts w:cstheme="minorHAnsi"/>
          <w:b/>
        </w:rPr>
        <w:t xml:space="preserve"> </w:t>
      </w:r>
      <w:r w:rsidR="00BA2F1C" w:rsidRPr="00BA2F1C">
        <w:rPr>
          <w:rFonts w:cstheme="minorHAnsi"/>
        </w:rPr>
        <w:t>(94) Mozambique (95) Afghanistan (96)</w:t>
      </w:r>
    </w:p>
    <w:p w:rsidR="005421A8" w:rsidRPr="00273D1F" w:rsidRDefault="005421A8" w:rsidP="004F0D64">
      <w:pPr>
        <w:spacing w:after="0" w:line="240" w:lineRule="auto"/>
        <w:rPr>
          <w:rFonts w:cstheme="minorHAnsi"/>
          <w:b/>
        </w:rPr>
      </w:pPr>
    </w:p>
    <w:p w:rsidR="002D18CC" w:rsidRPr="00273D1F" w:rsidRDefault="00AB677A" w:rsidP="004F0D64">
      <w:pPr>
        <w:spacing w:after="0" w:line="240" w:lineRule="auto"/>
        <w:rPr>
          <w:rFonts w:cstheme="minorHAnsi"/>
        </w:rPr>
      </w:pPr>
      <w:r w:rsidRPr="00273D1F">
        <w:rPr>
          <w:rFonts w:cstheme="minorHAnsi"/>
          <w:b/>
        </w:rPr>
        <w:t>HelpAge International</w:t>
      </w:r>
      <w:r w:rsidRPr="00273D1F">
        <w:rPr>
          <w:rFonts w:cstheme="minorHAnsi"/>
        </w:rPr>
        <w:t xml:space="preserve"> helps older people claim their rights, challenge discrimination and overcome poverty, so they can lead dignified, secure, active and healthy lives. </w:t>
      </w:r>
      <w:hyperlink r:id="rId14" w:history="1">
        <w:r w:rsidRPr="00273D1F">
          <w:rPr>
            <w:rStyle w:val="Hyperlink"/>
            <w:rFonts w:cstheme="minorHAnsi"/>
          </w:rPr>
          <w:t>www.helpage.org</w:t>
        </w:r>
      </w:hyperlink>
    </w:p>
    <w:p w:rsidR="002D18CC" w:rsidRPr="00273D1F" w:rsidRDefault="002D18CC" w:rsidP="004F0D64">
      <w:pPr>
        <w:spacing w:after="0" w:line="240" w:lineRule="auto"/>
        <w:rPr>
          <w:rFonts w:cstheme="minorHAnsi"/>
          <w:highlight w:val="yellow"/>
        </w:rPr>
      </w:pPr>
    </w:p>
    <w:p w:rsidR="008A7795" w:rsidRDefault="000E359C" w:rsidP="004F0D64">
      <w:pPr>
        <w:spacing w:after="0" w:line="240" w:lineRule="auto"/>
        <w:rPr>
          <w:rFonts w:eastAsia="Times New Roman" w:cstheme="minorHAnsi"/>
          <w:color w:val="000000"/>
          <w:lang w:eastAsia="en-GB"/>
        </w:rPr>
      </w:pPr>
      <w:r>
        <w:rPr>
          <w:rFonts w:cstheme="minorHAnsi"/>
          <w:b/>
        </w:rPr>
        <w:t xml:space="preserve">Media </w:t>
      </w:r>
      <w:r w:rsidR="005108A2" w:rsidRPr="00EB79D9">
        <w:rPr>
          <w:rFonts w:cstheme="minorHAnsi"/>
          <w:b/>
        </w:rPr>
        <w:t>C</w:t>
      </w:r>
      <w:r w:rsidR="004022F6" w:rsidRPr="00EB79D9">
        <w:rPr>
          <w:rFonts w:cstheme="minorHAnsi"/>
          <w:b/>
        </w:rPr>
        <w:t>ontact</w:t>
      </w:r>
      <w:r>
        <w:rPr>
          <w:rFonts w:cstheme="minorHAnsi"/>
          <w:b/>
        </w:rPr>
        <w:t>:</w:t>
      </w:r>
      <w:r w:rsidR="004022F6" w:rsidRPr="005108A2">
        <w:rPr>
          <w:rFonts w:cstheme="minorHAnsi"/>
        </w:rPr>
        <w:t xml:space="preserve"> Sarah Gillam</w:t>
      </w:r>
      <w:r>
        <w:rPr>
          <w:rFonts w:cstheme="minorHAnsi"/>
        </w:rPr>
        <w:t>, Media Relations Manager</w:t>
      </w:r>
      <w:r w:rsidR="004022F6" w:rsidRPr="005108A2">
        <w:rPr>
          <w:rFonts w:cstheme="minorHAnsi"/>
        </w:rPr>
        <w:t xml:space="preserve"> at HelpAge International’s office in London on </w:t>
      </w:r>
      <w:r w:rsidR="004416E5" w:rsidRPr="005108A2">
        <w:rPr>
          <w:rFonts w:cstheme="minorHAnsi"/>
        </w:rPr>
        <w:t xml:space="preserve">Tel: </w:t>
      </w:r>
      <w:r w:rsidR="004022F6" w:rsidRPr="005108A2">
        <w:rPr>
          <w:rFonts w:eastAsiaTheme="minorEastAsia" w:cstheme="minorHAnsi"/>
          <w:noProof/>
          <w:color w:val="000000"/>
          <w:lang w:eastAsia="en-GB"/>
        </w:rPr>
        <w:t>+44 (0) 20 7148 7</w:t>
      </w:r>
      <w:r w:rsidR="00033A31" w:rsidRPr="005108A2">
        <w:rPr>
          <w:rFonts w:eastAsia="Times New Roman" w:cstheme="minorHAnsi"/>
          <w:color w:val="000000"/>
          <w:lang w:eastAsia="en-GB"/>
        </w:rPr>
        <w:t>623.</w:t>
      </w:r>
      <w:r w:rsidR="00D64998" w:rsidRPr="005108A2">
        <w:rPr>
          <w:rFonts w:eastAsia="Times New Roman" w:cstheme="minorHAnsi"/>
          <w:color w:val="000000"/>
          <w:lang w:eastAsia="en-GB"/>
        </w:rPr>
        <w:t xml:space="preserve"> </w:t>
      </w:r>
      <w:r w:rsidR="004416E5" w:rsidRPr="005108A2">
        <w:rPr>
          <w:rFonts w:eastAsia="Times New Roman" w:cstheme="minorHAnsi"/>
          <w:color w:val="000000"/>
          <w:lang w:eastAsia="en-GB"/>
        </w:rPr>
        <w:t xml:space="preserve">Mobile: + 44 (0) 7713 567 624 </w:t>
      </w:r>
      <w:r w:rsidR="00D64998" w:rsidRPr="005108A2">
        <w:rPr>
          <w:rFonts w:eastAsia="Times New Roman" w:cstheme="minorHAnsi"/>
          <w:color w:val="000000"/>
          <w:lang w:eastAsia="en-GB"/>
        </w:rPr>
        <w:t xml:space="preserve">Email: </w:t>
      </w:r>
      <w:hyperlink r:id="rId15" w:history="1">
        <w:r w:rsidR="00D64998" w:rsidRPr="005108A2">
          <w:rPr>
            <w:rStyle w:val="Hyperlink"/>
            <w:rFonts w:eastAsia="Times New Roman" w:cstheme="minorHAnsi"/>
            <w:lang w:eastAsia="en-GB"/>
          </w:rPr>
          <w:t>sarah.gillam@helpage.org</w:t>
        </w:r>
      </w:hyperlink>
      <w:r w:rsidR="008730A3">
        <w:rPr>
          <w:rStyle w:val="Hyperlink"/>
          <w:rFonts w:eastAsia="Times New Roman" w:cstheme="minorHAnsi"/>
          <w:lang w:eastAsia="en-GB"/>
        </w:rPr>
        <w:t xml:space="preserve"> </w:t>
      </w:r>
      <w:r w:rsidR="00D64998" w:rsidRPr="005108A2">
        <w:rPr>
          <w:rFonts w:eastAsia="Times New Roman" w:cstheme="minorHAnsi"/>
          <w:color w:val="000000"/>
          <w:lang w:eastAsia="en-GB"/>
        </w:rPr>
        <w:t xml:space="preserve"> Skype: sarah.gillam.hai</w:t>
      </w:r>
    </w:p>
    <w:p w:rsidR="008A7795" w:rsidRDefault="008A7795" w:rsidP="004F0D64">
      <w:pPr>
        <w:spacing w:after="0" w:line="240" w:lineRule="auto"/>
        <w:rPr>
          <w:rFonts w:cstheme="minorHAnsi"/>
        </w:rPr>
      </w:pPr>
    </w:p>
    <w:p w:rsidR="00396AF9" w:rsidRDefault="00396AF9" w:rsidP="004F0D64">
      <w:pPr>
        <w:spacing w:after="0" w:line="240" w:lineRule="auto"/>
        <w:rPr>
          <w:rFonts w:cstheme="minorHAnsi"/>
        </w:rPr>
      </w:pPr>
    </w:p>
    <w:sectPr w:rsidR="00396AF9" w:rsidSect="00984700">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32" w:rsidRDefault="00B92332" w:rsidP="0092375D">
      <w:pPr>
        <w:spacing w:after="0" w:line="240" w:lineRule="auto"/>
      </w:pPr>
      <w:r>
        <w:separator/>
      </w:r>
    </w:p>
  </w:endnote>
  <w:endnote w:type="continuationSeparator" w:id="0">
    <w:p w:rsidR="00B92332" w:rsidRDefault="00B92332" w:rsidP="0092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728806"/>
      <w:docPartObj>
        <w:docPartGallery w:val="Page Numbers (Bottom of Page)"/>
        <w:docPartUnique/>
      </w:docPartObj>
    </w:sdtPr>
    <w:sdtEndPr>
      <w:rPr>
        <w:noProof/>
      </w:rPr>
    </w:sdtEndPr>
    <w:sdtContent>
      <w:p w:rsidR="000144A2" w:rsidRDefault="000144A2">
        <w:pPr>
          <w:pStyle w:val="Footer"/>
          <w:jc w:val="right"/>
        </w:pPr>
        <w:r>
          <w:fldChar w:fldCharType="begin"/>
        </w:r>
        <w:r>
          <w:instrText xml:space="preserve"> PAGE   \* MERGEFORMAT </w:instrText>
        </w:r>
        <w:r>
          <w:fldChar w:fldCharType="separate"/>
        </w:r>
        <w:r w:rsidR="002D6329">
          <w:rPr>
            <w:noProof/>
          </w:rPr>
          <w:t>1</w:t>
        </w:r>
        <w:r>
          <w:rPr>
            <w:noProof/>
          </w:rPr>
          <w:fldChar w:fldCharType="end"/>
        </w:r>
      </w:p>
    </w:sdtContent>
  </w:sdt>
  <w:p w:rsidR="000144A2" w:rsidRDefault="00014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32" w:rsidRDefault="00B92332" w:rsidP="0092375D">
      <w:pPr>
        <w:spacing w:after="0" w:line="240" w:lineRule="auto"/>
      </w:pPr>
      <w:r>
        <w:separator/>
      </w:r>
    </w:p>
  </w:footnote>
  <w:footnote w:type="continuationSeparator" w:id="0">
    <w:p w:rsidR="00B92332" w:rsidRDefault="00B92332" w:rsidP="00923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7D"/>
    <w:multiLevelType w:val="hybridMultilevel"/>
    <w:tmpl w:val="8514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A69D5"/>
    <w:multiLevelType w:val="hybridMultilevel"/>
    <w:tmpl w:val="A804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D1AE3"/>
    <w:multiLevelType w:val="hybridMultilevel"/>
    <w:tmpl w:val="43FC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671D08"/>
    <w:multiLevelType w:val="hybridMultilevel"/>
    <w:tmpl w:val="04C66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9E0C78"/>
    <w:multiLevelType w:val="hybridMultilevel"/>
    <w:tmpl w:val="585C1CB0"/>
    <w:lvl w:ilvl="0" w:tplc="4CC4726E">
      <w:start w:val="1"/>
      <w:numFmt w:val="decimal"/>
      <w:lvlText w:val="%1."/>
      <w:lvlJc w:val="left"/>
      <w:pPr>
        <w:ind w:left="720" w:hanging="360"/>
      </w:pPr>
      <w:rPr>
        <w:rFonts w:asciiTheme="minorHAnsi" w:eastAsia="Calibri" w:hAnsi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141AE3"/>
    <w:multiLevelType w:val="hybridMultilevel"/>
    <w:tmpl w:val="AA2A9B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9C59EE"/>
    <w:multiLevelType w:val="hybridMultilevel"/>
    <w:tmpl w:val="9BE8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482C6C"/>
    <w:multiLevelType w:val="hybridMultilevel"/>
    <w:tmpl w:val="EAC41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F7E11F1"/>
    <w:multiLevelType w:val="hybridMultilevel"/>
    <w:tmpl w:val="D5F4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932AC3"/>
    <w:multiLevelType w:val="hybridMultilevel"/>
    <w:tmpl w:val="3AE845B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B85AAE"/>
    <w:multiLevelType w:val="hybridMultilevel"/>
    <w:tmpl w:val="A6CE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AC5E4A"/>
    <w:multiLevelType w:val="hybridMultilevel"/>
    <w:tmpl w:val="33A0C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C9D3D50"/>
    <w:multiLevelType w:val="hybridMultilevel"/>
    <w:tmpl w:val="D03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0529F0"/>
    <w:multiLevelType w:val="hybridMultilevel"/>
    <w:tmpl w:val="0DF2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17E04"/>
    <w:multiLevelType w:val="hybridMultilevel"/>
    <w:tmpl w:val="58C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9130E4"/>
    <w:multiLevelType w:val="hybridMultilevel"/>
    <w:tmpl w:val="DA92B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F676E74"/>
    <w:multiLevelType w:val="hybridMultilevel"/>
    <w:tmpl w:val="6DE4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6"/>
  </w:num>
  <w:num w:numId="5">
    <w:abstractNumId w:val="14"/>
  </w:num>
  <w:num w:numId="6">
    <w:abstractNumId w:val="13"/>
  </w:num>
  <w:num w:numId="7">
    <w:abstractNumId w:val="4"/>
  </w:num>
  <w:num w:numId="8">
    <w:abstractNumId w:val="2"/>
  </w:num>
  <w:num w:numId="9">
    <w:abstractNumId w:val="0"/>
  </w:num>
  <w:num w:numId="10">
    <w:abstractNumId w:val="12"/>
  </w:num>
  <w:num w:numId="11">
    <w:abstractNumId w:val="6"/>
  </w:num>
  <w:num w:numId="12">
    <w:abstractNumId w:val="9"/>
  </w:num>
  <w:num w:numId="13">
    <w:abstractNumId w:val="5"/>
  </w:num>
  <w:num w:numId="14">
    <w:abstractNumId w:val="15"/>
  </w:num>
  <w:num w:numId="15">
    <w:abstractNumId w:val="11"/>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F6"/>
    <w:rsid w:val="0000271A"/>
    <w:rsid w:val="00007E68"/>
    <w:rsid w:val="000128E3"/>
    <w:rsid w:val="000144A2"/>
    <w:rsid w:val="0001643E"/>
    <w:rsid w:val="00020FD6"/>
    <w:rsid w:val="000217E9"/>
    <w:rsid w:val="00022CE0"/>
    <w:rsid w:val="00022DAD"/>
    <w:rsid w:val="00023566"/>
    <w:rsid w:val="000258A7"/>
    <w:rsid w:val="00026A9C"/>
    <w:rsid w:val="00032956"/>
    <w:rsid w:val="00033A31"/>
    <w:rsid w:val="000350F6"/>
    <w:rsid w:val="00040A0C"/>
    <w:rsid w:val="00040D5A"/>
    <w:rsid w:val="00041A79"/>
    <w:rsid w:val="0004283C"/>
    <w:rsid w:val="00044B00"/>
    <w:rsid w:val="00046C82"/>
    <w:rsid w:val="00047875"/>
    <w:rsid w:val="00051DF0"/>
    <w:rsid w:val="00053396"/>
    <w:rsid w:val="000553BF"/>
    <w:rsid w:val="00055A50"/>
    <w:rsid w:val="00056E77"/>
    <w:rsid w:val="000604BA"/>
    <w:rsid w:val="00060596"/>
    <w:rsid w:val="00061B70"/>
    <w:rsid w:val="000646A7"/>
    <w:rsid w:val="0006748E"/>
    <w:rsid w:val="00071D57"/>
    <w:rsid w:val="000732AB"/>
    <w:rsid w:val="00077B7B"/>
    <w:rsid w:val="00080019"/>
    <w:rsid w:val="00082D8B"/>
    <w:rsid w:val="00087096"/>
    <w:rsid w:val="000924A8"/>
    <w:rsid w:val="00092CFB"/>
    <w:rsid w:val="0009391A"/>
    <w:rsid w:val="000954A2"/>
    <w:rsid w:val="00097DC3"/>
    <w:rsid w:val="000A0D25"/>
    <w:rsid w:val="000A1749"/>
    <w:rsid w:val="000A3792"/>
    <w:rsid w:val="000A76D9"/>
    <w:rsid w:val="000B3317"/>
    <w:rsid w:val="000B3C27"/>
    <w:rsid w:val="000B46B7"/>
    <w:rsid w:val="000B46E8"/>
    <w:rsid w:val="000B6656"/>
    <w:rsid w:val="000C4216"/>
    <w:rsid w:val="000C69E5"/>
    <w:rsid w:val="000D02B3"/>
    <w:rsid w:val="000D55C3"/>
    <w:rsid w:val="000D6887"/>
    <w:rsid w:val="000D77D7"/>
    <w:rsid w:val="000E1954"/>
    <w:rsid w:val="000E22A1"/>
    <w:rsid w:val="000E359C"/>
    <w:rsid w:val="000E3EE4"/>
    <w:rsid w:val="000E6C75"/>
    <w:rsid w:val="000E6C86"/>
    <w:rsid w:val="000F0C81"/>
    <w:rsid w:val="000F1A17"/>
    <w:rsid w:val="000F20FB"/>
    <w:rsid w:val="000F26BF"/>
    <w:rsid w:val="000F31EC"/>
    <w:rsid w:val="000F33E2"/>
    <w:rsid w:val="000F58D4"/>
    <w:rsid w:val="0010337A"/>
    <w:rsid w:val="001058CA"/>
    <w:rsid w:val="00105E06"/>
    <w:rsid w:val="001101AA"/>
    <w:rsid w:val="00115F1E"/>
    <w:rsid w:val="00117C4D"/>
    <w:rsid w:val="001230C4"/>
    <w:rsid w:val="00124539"/>
    <w:rsid w:val="00126AF1"/>
    <w:rsid w:val="0013063A"/>
    <w:rsid w:val="00131974"/>
    <w:rsid w:val="001327FE"/>
    <w:rsid w:val="001337E7"/>
    <w:rsid w:val="00144821"/>
    <w:rsid w:val="00144C92"/>
    <w:rsid w:val="001475A0"/>
    <w:rsid w:val="001510AC"/>
    <w:rsid w:val="00151E02"/>
    <w:rsid w:val="00153283"/>
    <w:rsid w:val="001546F3"/>
    <w:rsid w:val="00154DCA"/>
    <w:rsid w:val="00156B83"/>
    <w:rsid w:val="0016417F"/>
    <w:rsid w:val="00164D82"/>
    <w:rsid w:val="001705DD"/>
    <w:rsid w:val="00190005"/>
    <w:rsid w:val="001902BE"/>
    <w:rsid w:val="0019046D"/>
    <w:rsid w:val="001905E6"/>
    <w:rsid w:val="00190C86"/>
    <w:rsid w:val="00190FF2"/>
    <w:rsid w:val="00191F1F"/>
    <w:rsid w:val="001930B0"/>
    <w:rsid w:val="00197AB0"/>
    <w:rsid w:val="001A26DA"/>
    <w:rsid w:val="001A2EF1"/>
    <w:rsid w:val="001A3B77"/>
    <w:rsid w:val="001A3D41"/>
    <w:rsid w:val="001A655F"/>
    <w:rsid w:val="001A66E3"/>
    <w:rsid w:val="001A6971"/>
    <w:rsid w:val="001B34AC"/>
    <w:rsid w:val="001B47D2"/>
    <w:rsid w:val="001B6740"/>
    <w:rsid w:val="001B69E1"/>
    <w:rsid w:val="001B6A22"/>
    <w:rsid w:val="001C13BE"/>
    <w:rsid w:val="001C2122"/>
    <w:rsid w:val="001C6DDD"/>
    <w:rsid w:val="001D3C65"/>
    <w:rsid w:val="001D5DDA"/>
    <w:rsid w:val="001D6EF2"/>
    <w:rsid w:val="001D7A63"/>
    <w:rsid w:val="001E0F90"/>
    <w:rsid w:val="001E1AA0"/>
    <w:rsid w:val="001E4CE1"/>
    <w:rsid w:val="001E5B94"/>
    <w:rsid w:val="001E69FB"/>
    <w:rsid w:val="001E71F6"/>
    <w:rsid w:val="001E7E98"/>
    <w:rsid w:val="001F2920"/>
    <w:rsid w:val="001F2AEC"/>
    <w:rsid w:val="001F45F0"/>
    <w:rsid w:val="001F7238"/>
    <w:rsid w:val="00203A0A"/>
    <w:rsid w:val="00205FA8"/>
    <w:rsid w:val="00207412"/>
    <w:rsid w:val="00207BCA"/>
    <w:rsid w:val="00213FBF"/>
    <w:rsid w:val="00214BB5"/>
    <w:rsid w:val="00216942"/>
    <w:rsid w:val="00216DC7"/>
    <w:rsid w:val="00216EB9"/>
    <w:rsid w:val="00220334"/>
    <w:rsid w:val="002209ED"/>
    <w:rsid w:val="00222758"/>
    <w:rsid w:val="00227A65"/>
    <w:rsid w:val="00231C41"/>
    <w:rsid w:val="00231EB2"/>
    <w:rsid w:val="002346F5"/>
    <w:rsid w:val="00240757"/>
    <w:rsid w:val="0024119D"/>
    <w:rsid w:val="0024367C"/>
    <w:rsid w:val="00246077"/>
    <w:rsid w:val="00246098"/>
    <w:rsid w:val="0025109A"/>
    <w:rsid w:val="00251882"/>
    <w:rsid w:val="00251EFD"/>
    <w:rsid w:val="002530F9"/>
    <w:rsid w:val="00257310"/>
    <w:rsid w:val="002576B5"/>
    <w:rsid w:val="00262A08"/>
    <w:rsid w:val="00265596"/>
    <w:rsid w:val="002657B8"/>
    <w:rsid w:val="00267277"/>
    <w:rsid w:val="00273D1F"/>
    <w:rsid w:val="0027440F"/>
    <w:rsid w:val="00274791"/>
    <w:rsid w:val="00274C9B"/>
    <w:rsid w:val="0027546B"/>
    <w:rsid w:val="00280316"/>
    <w:rsid w:val="00284017"/>
    <w:rsid w:val="002856F4"/>
    <w:rsid w:val="00290943"/>
    <w:rsid w:val="002909AA"/>
    <w:rsid w:val="002931B2"/>
    <w:rsid w:val="00294B7C"/>
    <w:rsid w:val="002A532D"/>
    <w:rsid w:val="002A6530"/>
    <w:rsid w:val="002A6E17"/>
    <w:rsid w:val="002B0B80"/>
    <w:rsid w:val="002B0D0C"/>
    <w:rsid w:val="002B1148"/>
    <w:rsid w:val="002B1A1A"/>
    <w:rsid w:val="002B2FC9"/>
    <w:rsid w:val="002B3769"/>
    <w:rsid w:val="002B4666"/>
    <w:rsid w:val="002B46F7"/>
    <w:rsid w:val="002B4E04"/>
    <w:rsid w:val="002C1E69"/>
    <w:rsid w:val="002C2442"/>
    <w:rsid w:val="002C7402"/>
    <w:rsid w:val="002C748C"/>
    <w:rsid w:val="002D18CC"/>
    <w:rsid w:val="002D260B"/>
    <w:rsid w:val="002D32BF"/>
    <w:rsid w:val="002D4680"/>
    <w:rsid w:val="002D6329"/>
    <w:rsid w:val="002D7551"/>
    <w:rsid w:val="002D7758"/>
    <w:rsid w:val="002E0375"/>
    <w:rsid w:val="002E27D7"/>
    <w:rsid w:val="002E2A37"/>
    <w:rsid w:val="002E4EFE"/>
    <w:rsid w:val="002E6424"/>
    <w:rsid w:val="002F17D6"/>
    <w:rsid w:val="002F18BD"/>
    <w:rsid w:val="002F31C6"/>
    <w:rsid w:val="002F7EA8"/>
    <w:rsid w:val="00302367"/>
    <w:rsid w:val="0030265A"/>
    <w:rsid w:val="00302959"/>
    <w:rsid w:val="00306903"/>
    <w:rsid w:val="00307356"/>
    <w:rsid w:val="00307897"/>
    <w:rsid w:val="00310C55"/>
    <w:rsid w:val="0031378E"/>
    <w:rsid w:val="003149E5"/>
    <w:rsid w:val="00314E05"/>
    <w:rsid w:val="003156A9"/>
    <w:rsid w:val="003177CC"/>
    <w:rsid w:val="00321E70"/>
    <w:rsid w:val="00323E13"/>
    <w:rsid w:val="00326823"/>
    <w:rsid w:val="00330CC5"/>
    <w:rsid w:val="003335E5"/>
    <w:rsid w:val="00334F50"/>
    <w:rsid w:val="003350D3"/>
    <w:rsid w:val="00335DA5"/>
    <w:rsid w:val="003405A4"/>
    <w:rsid w:val="00344455"/>
    <w:rsid w:val="00345EF5"/>
    <w:rsid w:val="003504E9"/>
    <w:rsid w:val="00350793"/>
    <w:rsid w:val="00350A7D"/>
    <w:rsid w:val="00350DBC"/>
    <w:rsid w:val="0035175C"/>
    <w:rsid w:val="00353557"/>
    <w:rsid w:val="00354236"/>
    <w:rsid w:val="00360708"/>
    <w:rsid w:val="00362F74"/>
    <w:rsid w:val="003635BF"/>
    <w:rsid w:val="003639FB"/>
    <w:rsid w:val="00365522"/>
    <w:rsid w:val="00366243"/>
    <w:rsid w:val="003742F0"/>
    <w:rsid w:val="00374DF6"/>
    <w:rsid w:val="00377B21"/>
    <w:rsid w:val="00380C73"/>
    <w:rsid w:val="003821E7"/>
    <w:rsid w:val="00385DE5"/>
    <w:rsid w:val="00386156"/>
    <w:rsid w:val="00392D3D"/>
    <w:rsid w:val="00392EF0"/>
    <w:rsid w:val="003946EF"/>
    <w:rsid w:val="00394F84"/>
    <w:rsid w:val="00396AF9"/>
    <w:rsid w:val="00396CF9"/>
    <w:rsid w:val="003979B4"/>
    <w:rsid w:val="003A5C48"/>
    <w:rsid w:val="003A62BB"/>
    <w:rsid w:val="003B09B9"/>
    <w:rsid w:val="003B31BB"/>
    <w:rsid w:val="003B3F96"/>
    <w:rsid w:val="003C2CAF"/>
    <w:rsid w:val="003C6775"/>
    <w:rsid w:val="003C7A83"/>
    <w:rsid w:val="003D0C57"/>
    <w:rsid w:val="003D331A"/>
    <w:rsid w:val="003D4213"/>
    <w:rsid w:val="003D4D02"/>
    <w:rsid w:val="003E4FA7"/>
    <w:rsid w:val="003E7718"/>
    <w:rsid w:val="003F22FD"/>
    <w:rsid w:val="003F4A7C"/>
    <w:rsid w:val="004022F6"/>
    <w:rsid w:val="00402579"/>
    <w:rsid w:val="00405FED"/>
    <w:rsid w:val="00406F01"/>
    <w:rsid w:val="00407B4C"/>
    <w:rsid w:val="004122E8"/>
    <w:rsid w:val="0041569D"/>
    <w:rsid w:val="00417B7B"/>
    <w:rsid w:val="00426928"/>
    <w:rsid w:val="0043027F"/>
    <w:rsid w:val="00432616"/>
    <w:rsid w:val="00434F61"/>
    <w:rsid w:val="0043528C"/>
    <w:rsid w:val="004416E5"/>
    <w:rsid w:val="004419B1"/>
    <w:rsid w:val="00444231"/>
    <w:rsid w:val="0044638D"/>
    <w:rsid w:val="004468F2"/>
    <w:rsid w:val="00447A3E"/>
    <w:rsid w:val="004507AF"/>
    <w:rsid w:val="00453666"/>
    <w:rsid w:val="00462F31"/>
    <w:rsid w:val="0046576D"/>
    <w:rsid w:val="00467D3B"/>
    <w:rsid w:val="0047072E"/>
    <w:rsid w:val="00471B31"/>
    <w:rsid w:val="0047583F"/>
    <w:rsid w:val="00486D17"/>
    <w:rsid w:val="00490623"/>
    <w:rsid w:val="004919CE"/>
    <w:rsid w:val="0049285F"/>
    <w:rsid w:val="00493061"/>
    <w:rsid w:val="004958D3"/>
    <w:rsid w:val="00496AE1"/>
    <w:rsid w:val="004A115B"/>
    <w:rsid w:val="004A1ED3"/>
    <w:rsid w:val="004A3DF2"/>
    <w:rsid w:val="004A4AB9"/>
    <w:rsid w:val="004A50F3"/>
    <w:rsid w:val="004A5502"/>
    <w:rsid w:val="004A795F"/>
    <w:rsid w:val="004B4B25"/>
    <w:rsid w:val="004B7FE2"/>
    <w:rsid w:val="004C3025"/>
    <w:rsid w:val="004C506A"/>
    <w:rsid w:val="004D0525"/>
    <w:rsid w:val="004D38B5"/>
    <w:rsid w:val="004D5737"/>
    <w:rsid w:val="004E1A12"/>
    <w:rsid w:val="004E3457"/>
    <w:rsid w:val="004E3501"/>
    <w:rsid w:val="004E4641"/>
    <w:rsid w:val="004E668F"/>
    <w:rsid w:val="004E712F"/>
    <w:rsid w:val="004E72D6"/>
    <w:rsid w:val="004F0D64"/>
    <w:rsid w:val="004F1037"/>
    <w:rsid w:val="004F2F4B"/>
    <w:rsid w:val="004F35D6"/>
    <w:rsid w:val="00502244"/>
    <w:rsid w:val="005034BA"/>
    <w:rsid w:val="005037DB"/>
    <w:rsid w:val="005046BC"/>
    <w:rsid w:val="00506223"/>
    <w:rsid w:val="005075CE"/>
    <w:rsid w:val="005108A2"/>
    <w:rsid w:val="00516FF0"/>
    <w:rsid w:val="005227EC"/>
    <w:rsid w:val="00522DF0"/>
    <w:rsid w:val="00524BF0"/>
    <w:rsid w:val="0052544F"/>
    <w:rsid w:val="005275C3"/>
    <w:rsid w:val="00527F6B"/>
    <w:rsid w:val="0053221C"/>
    <w:rsid w:val="00533AB0"/>
    <w:rsid w:val="00535096"/>
    <w:rsid w:val="00541219"/>
    <w:rsid w:val="005421A8"/>
    <w:rsid w:val="005444A3"/>
    <w:rsid w:val="00545346"/>
    <w:rsid w:val="00547E50"/>
    <w:rsid w:val="0055061D"/>
    <w:rsid w:val="00550A83"/>
    <w:rsid w:val="0055151D"/>
    <w:rsid w:val="00552594"/>
    <w:rsid w:val="00555B44"/>
    <w:rsid w:val="0056089B"/>
    <w:rsid w:val="00561D99"/>
    <w:rsid w:val="005657E2"/>
    <w:rsid w:val="00572238"/>
    <w:rsid w:val="00572D08"/>
    <w:rsid w:val="0057327D"/>
    <w:rsid w:val="005738CF"/>
    <w:rsid w:val="005801B1"/>
    <w:rsid w:val="00582075"/>
    <w:rsid w:val="00584182"/>
    <w:rsid w:val="00586755"/>
    <w:rsid w:val="00596941"/>
    <w:rsid w:val="005A128C"/>
    <w:rsid w:val="005A1770"/>
    <w:rsid w:val="005A4CBE"/>
    <w:rsid w:val="005B3877"/>
    <w:rsid w:val="005B7533"/>
    <w:rsid w:val="005B772C"/>
    <w:rsid w:val="005C0BF5"/>
    <w:rsid w:val="005C46A3"/>
    <w:rsid w:val="005C6663"/>
    <w:rsid w:val="005C67FB"/>
    <w:rsid w:val="005D511C"/>
    <w:rsid w:val="005E0A7B"/>
    <w:rsid w:val="005E15CE"/>
    <w:rsid w:val="005E7B31"/>
    <w:rsid w:val="005F3A30"/>
    <w:rsid w:val="005F6677"/>
    <w:rsid w:val="00602026"/>
    <w:rsid w:val="00603E18"/>
    <w:rsid w:val="00605580"/>
    <w:rsid w:val="00606651"/>
    <w:rsid w:val="00614DC2"/>
    <w:rsid w:val="00614FA0"/>
    <w:rsid w:val="00617750"/>
    <w:rsid w:val="00623208"/>
    <w:rsid w:val="00624592"/>
    <w:rsid w:val="006325DB"/>
    <w:rsid w:val="006330A3"/>
    <w:rsid w:val="00637BF2"/>
    <w:rsid w:val="0064400F"/>
    <w:rsid w:val="006505A0"/>
    <w:rsid w:val="00653DE5"/>
    <w:rsid w:val="00654231"/>
    <w:rsid w:val="00656F1C"/>
    <w:rsid w:val="00660054"/>
    <w:rsid w:val="00664814"/>
    <w:rsid w:val="00665A3A"/>
    <w:rsid w:val="00665B48"/>
    <w:rsid w:val="006667BD"/>
    <w:rsid w:val="00667418"/>
    <w:rsid w:val="006674D2"/>
    <w:rsid w:val="00670F8E"/>
    <w:rsid w:val="00672B0A"/>
    <w:rsid w:val="00673494"/>
    <w:rsid w:val="00674429"/>
    <w:rsid w:val="00681797"/>
    <w:rsid w:val="00681C95"/>
    <w:rsid w:val="00684391"/>
    <w:rsid w:val="00684B86"/>
    <w:rsid w:val="00694E51"/>
    <w:rsid w:val="006A0CE8"/>
    <w:rsid w:val="006A5A09"/>
    <w:rsid w:val="006A7D97"/>
    <w:rsid w:val="006B0D1A"/>
    <w:rsid w:val="006B1F2B"/>
    <w:rsid w:val="006B2314"/>
    <w:rsid w:val="006C0364"/>
    <w:rsid w:val="006C29EF"/>
    <w:rsid w:val="006C6678"/>
    <w:rsid w:val="006C6EE6"/>
    <w:rsid w:val="006C74E4"/>
    <w:rsid w:val="006D2FCB"/>
    <w:rsid w:val="006D3A76"/>
    <w:rsid w:val="006D573D"/>
    <w:rsid w:val="006D7C48"/>
    <w:rsid w:val="006E0280"/>
    <w:rsid w:val="006E2808"/>
    <w:rsid w:val="006E4360"/>
    <w:rsid w:val="006E6AE5"/>
    <w:rsid w:val="006E7FE9"/>
    <w:rsid w:val="006F2940"/>
    <w:rsid w:val="006F2CC1"/>
    <w:rsid w:val="006F3632"/>
    <w:rsid w:val="006F441C"/>
    <w:rsid w:val="006F4B05"/>
    <w:rsid w:val="006F6648"/>
    <w:rsid w:val="00701670"/>
    <w:rsid w:val="00705C3F"/>
    <w:rsid w:val="007125B6"/>
    <w:rsid w:val="00712AED"/>
    <w:rsid w:val="007137AE"/>
    <w:rsid w:val="00720653"/>
    <w:rsid w:val="00721B78"/>
    <w:rsid w:val="007263BE"/>
    <w:rsid w:val="00726F21"/>
    <w:rsid w:val="00727B53"/>
    <w:rsid w:val="0073047D"/>
    <w:rsid w:val="00730FC2"/>
    <w:rsid w:val="00732CE8"/>
    <w:rsid w:val="00734305"/>
    <w:rsid w:val="00742C9A"/>
    <w:rsid w:val="00747208"/>
    <w:rsid w:val="00750CAD"/>
    <w:rsid w:val="00752F44"/>
    <w:rsid w:val="00756994"/>
    <w:rsid w:val="00756EE7"/>
    <w:rsid w:val="00761279"/>
    <w:rsid w:val="00766478"/>
    <w:rsid w:val="00767BD0"/>
    <w:rsid w:val="0077602C"/>
    <w:rsid w:val="00780947"/>
    <w:rsid w:val="007812F0"/>
    <w:rsid w:val="00783138"/>
    <w:rsid w:val="00783AA3"/>
    <w:rsid w:val="007844AC"/>
    <w:rsid w:val="007847C0"/>
    <w:rsid w:val="00785ADA"/>
    <w:rsid w:val="00791B74"/>
    <w:rsid w:val="00793B33"/>
    <w:rsid w:val="00793F4D"/>
    <w:rsid w:val="0079671F"/>
    <w:rsid w:val="007A3CA3"/>
    <w:rsid w:val="007A5EEA"/>
    <w:rsid w:val="007B3D5E"/>
    <w:rsid w:val="007C0B24"/>
    <w:rsid w:val="007C2E07"/>
    <w:rsid w:val="007C3FDE"/>
    <w:rsid w:val="007C6686"/>
    <w:rsid w:val="007C66B4"/>
    <w:rsid w:val="007D07C2"/>
    <w:rsid w:val="007D10CC"/>
    <w:rsid w:val="007D1F62"/>
    <w:rsid w:val="007D7AA2"/>
    <w:rsid w:val="007E05C0"/>
    <w:rsid w:val="007E2096"/>
    <w:rsid w:val="007E22BB"/>
    <w:rsid w:val="007E3F64"/>
    <w:rsid w:val="007E54BA"/>
    <w:rsid w:val="007E7DCF"/>
    <w:rsid w:val="007F200B"/>
    <w:rsid w:val="007F21DD"/>
    <w:rsid w:val="007F44AB"/>
    <w:rsid w:val="007F482A"/>
    <w:rsid w:val="007F76B5"/>
    <w:rsid w:val="00803781"/>
    <w:rsid w:val="008040F8"/>
    <w:rsid w:val="008074C1"/>
    <w:rsid w:val="00807633"/>
    <w:rsid w:val="0081014B"/>
    <w:rsid w:val="00820C19"/>
    <w:rsid w:val="008230D4"/>
    <w:rsid w:val="00823127"/>
    <w:rsid w:val="00823FF2"/>
    <w:rsid w:val="00826A19"/>
    <w:rsid w:val="00832285"/>
    <w:rsid w:val="00835A98"/>
    <w:rsid w:val="008379C3"/>
    <w:rsid w:val="008419C9"/>
    <w:rsid w:val="00843D49"/>
    <w:rsid w:val="00847835"/>
    <w:rsid w:val="00851803"/>
    <w:rsid w:val="008530E2"/>
    <w:rsid w:val="008532A5"/>
    <w:rsid w:val="0085370B"/>
    <w:rsid w:val="00853C3F"/>
    <w:rsid w:val="0085726E"/>
    <w:rsid w:val="00861671"/>
    <w:rsid w:val="00862025"/>
    <w:rsid w:val="00870FF4"/>
    <w:rsid w:val="00871BC7"/>
    <w:rsid w:val="00872F43"/>
    <w:rsid w:val="008730A3"/>
    <w:rsid w:val="008748D4"/>
    <w:rsid w:val="008802A8"/>
    <w:rsid w:val="0088300E"/>
    <w:rsid w:val="00892581"/>
    <w:rsid w:val="00893C94"/>
    <w:rsid w:val="008958E8"/>
    <w:rsid w:val="00896168"/>
    <w:rsid w:val="00896BC1"/>
    <w:rsid w:val="008A3DED"/>
    <w:rsid w:val="008A477E"/>
    <w:rsid w:val="008A7795"/>
    <w:rsid w:val="008B03F2"/>
    <w:rsid w:val="008B26FE"/>
    <w:rsid w:val="008B3069"/>
    <w:rsid w:val="008B77E1"/>
    <w:rsid w:val="008D1B3F"/>
    <w:rsid w:val="008D4B4C"/>
    <w:rsid w:val="008D4BAD"/>
    <w:rsid w:val="008D5723"/>
    <w:rsid w:val="008E037D"/>
    <w:rsid w:val="008E0D66"/>
    <w:rsid w:val="008E19B3"/>
    <w:rsid w:val="008E737C"/>
    <w:rsid w:val="008F10E5"/>
    <w:rsid w:val="008F2BD8"/>
    <w:rsid w:val="008F52C5"/>
    <w:rsid w:val="008F668A"/>
    <w:rsid w:val="00902463"/>
    <w:rsid w:val="00902B45"/>
    <w:rsid w:val="00905536"/>
    <w:rsid w:val="00912348"/>
    <w:rsid w:val="00915A3C"/>
    <w:rsid w:val="0091612A"/>
    <w:rsid w:val="00917675"/>
    <w:rsid w:val="00917A05"/>
    <w:rsid w:val="00922743"/>
    <w:rsid w:val="0092375D"/>
    <w:rsid w:val="00926C12"/>
    <w:rsid w:val="00933324"/>
    <w:rsid w:val="00934912"/>
    <w:rsid w:val="009360A0"/>
    <w:rsid w:val="009373DC"/>
    <w:rsid w:val="00937E59"/>
    <w:rsid w:val="00940184"/>
    <w:rsid w:val="0094123D"/>
    <w:rsid w:val="00941370"/>
    <w:rsid w:val="00943098"/>
    <w:rsid w:val="00945980"/>
    <w:rsid w:val="00950E97"/>
    <w:rsid w:val="00957292"/>
    <w:rsid w:val="00957695"/>
    <w:rsid w:val="00957CB5"/>
    <w:rsid w:val="00962FA1"/>
    <w:rsid w:val="0096393D"/>
    <w:rsid w:val="009642E7"/>
    <w:rsid w:val="00964903"/>
    <w:rsid w:val="00966032"/>
    <w:rsid w:val="00966627"/>
    <w:rsid w:val="00967517"/>
    <w:rsid w:val="00967F7B"/>
    <w:rsid w:val="00971F8B"/>
    <w:rsid w:val="009728D5"/>
    <w:rsid w:val="00972CE0"/>
    <w:rsid w:val="00981403"/>
    <w:rsid w:val="00984700"/>
    <w:rsid w:val="009861AD"/>
    <w:rsid w:val="00986AF9"/>
    <w:rsid w:val="00987741"/>
    <w:rsid w:val="00990062"/>
    <w:rsid w:val="009930EA"/>
    <w:rsid w:val="00994CE7"/>
    <w:rsid w:val="00995701"/>
    <w:rsid w:val="00996496"/>
    <w:rsid w:val="009A1B45"/>
    <w:rsid w:val="009A21B2"/>
    <w:rsid w:val="009A561D"/>
    <w:rsid w:val="009A7157"/>
    <w:rsid w:val="009B58AE"/>
    <w:rsid w:val="009B678F"/>
    <w:rsid w:val="009B6982"/>
    <w:rsid w:val="009C0AD5"/>
    <w:rsid w:val="009C0C06"/>
    <w:rsid w:val="009C37C6"/>
    <w:rsid w:val="009D4181"/>
    <w:rsid w:val="009D488D"/>
    <w:rsid w:val="009D5C06"/>
    <w:rsid w:val="009E162B"/>
    <w:rsid w:val="009E1DFB"/>
    <w:rsid w:val="009E24D7"/>
    <w:rsid w:val="009E286A"/>
    <w:rsid w:val="009E4281"/>
    <w:rsid w:val="009E62AC"/>
    <w:rsid w:val="009E650F"/>
    <w:rsid w:val="009E7033"/>
    <w:rsid w:val="009F1AA2"/>
    <w:rsid w:val="009F4794"/>
    <w:rsid w:val="00A00F86"/>
    <w:rsid w:val="00A02515"/>
    <w:rsid w:val="00A10372"/>
    <w:rsid w:val="00A1335B"/>
    <w:rsid w:val="00A13562"/>
    <w:rsid w:val="00A1461D"/>
    <w:rsid w:val="00A16E18"/>
    <w:rsid w:val="00A23976"/>
    <w:rsid w:val="00A24604"/>
    <w:rsid w:val="00A25D13"/>
    <w:rsid w:val="00A26596"/>
    <w:rsid w:val="00A32E8F"/>
    <w:rsid w:val="00A3517C"/>
    <w:rsid w:val="00A36066"/>
    <w:rsid w:val="00A402C2"/>
    <w:rsid w:val="00A40B62"/>
    <w:rsid w:val="00A40BF7"/>
    <w:rsid w:val="00A4227D"/>
    <w:rsid w:val="00A45E83"/>
    <w:rsid w:val="00A5339F"/>
    <w:rsid w:val="00A56DA8"/>
    <w:rsid w:val="00A607CA"/>
    <w:rsid w:val="00A60EC8"/>
    <w:rsid w:val="00A644B5"/>
    <w:rsid w:val="00A65B8C"/>
    <w:rsid w:val="00A70497"/>
    <w:rsid w:val="00A764C3"/>
    <w:rsid w:val="00A76BA5"/>
    <w:rsid w:val="00A77DB1"/>
    <w:rsid w:val="00A8001C"/>
    <w:rsid w:val="00A81298"/>
    <w:rsid w:val="00A82F99"/>
    <w:rsid w:val="00A8324C"/>
    <w:rsid w:val="00A83C3D"/>
    <w:rsid w:val="00A9139E"/>
    <w:rsid w:val="00A92C59"/>
    <w:rsid w:val="00A96833"/>
    <w:rsid w:val="00AA4FEC"/>
    <w:rsid w:val="00AB2352"/>
    <w:rsid w:val="00AB25F0"/>
    <w:rsid w:val="00AB470A"/>
    <w:rsid w:val="00AB49C6"/>
    <w:rsid w:val="00AB677A"/>
    <w:rsid w:val="00AB691E"/>
    <w:rsid w:val="00AB75B4"/>
    <w:rsid w:val="00AC1D33"/>
    <w:rsid w:val="00AC3EE0"/>
    <w:rsid w:val="00AC43B7"/>
    <w:rsid w:val="00AC7DFF"/>
    <w:rsid w:val="00AD0322"/>
    <w:rsid w:val="00AD07C0"/>
    <w:rsid w:val="00AD29AF"/>
    <w:rsid w:val="00AD7DC9"/>
    <w:rsid w:val="00AE0D0D"/>
    <w:rsid w:val="00AE14CD"/>
    <w:rsid w:val="00AE2613"/>
    <w:rsid w:val="00AE335B"/>
    <w:rsid w:val="00AE365B"/>
    <w:rsid w:val="00AE382B"/>
    <w:rsid w:val="00AE58E6"/>
    <w:rsid w:val="00AE793D"/>
    <w:rsid w:val="00AF1B86"/>
    <w:rsid w:val="00AF390A"/>
    <w:rsid w:val="00AF5E2E"/>
    <w:rsid w:val="00B00010"/>
    <w:rsid w:val="00B0040C"/>
    <w:rsid w:val="00B0059B"/>
    <w:rsid w:val="00B030E5"/>
    <w:rsid w:val="00B0328B"/>
    <w:rsid w:val="00B05399"/>
    <w:rsid w:val="00B10BAF"/>
    <w:rsid w:val="00B121CD"/>
    <w:rsid w:val="00B1233E"/>
    <w:rsid w:val="00B12AB3"/>
    <w:rsid w:val="00B1586A"/>
    <w:rsid w:val="00B16729"/>
    <w:rsid w:val="00B168C9"/>
    <w:rsid w:val="00B1692C"/>
    <w:rsid w:val="00B16B04"/>
    <w:rsid w:val="00B16C6F"/>
    <w:rsid w:val="00B234F9"/>
    <w:rsid w:val="00B255C0"/>
    <w:rsid w:val="00B26E58"/>
    <w:rsid w:val="00B302D6"/>
    <w:rsid w:val="00B33C94"/>
    <w:rsid w:val="00B34640"/>
    <w:rsid w:val="00B367C5"/>
    <w:rsid w:val="00B37817"/>
    <w:rsid w:val="00B43CED"/>
    <w:rsid w:val="00B51F54"/>
    <w:rsid w:val="00B55DA5"/>
    <w:rsid w:val="00B66273"/>
    <w:rsid w:val="00B66DEA"/>
    <w:rsid w:val="00B705D1"/>
    <w:rsid w:val="00B71A42"/>
    <w:rsid w:val="00B75BFB"/>
    <w:rsid w:val="00B7646E"/>
    <w:rsid w:val="00B76C4E"/>
    <w:rsid w:val="00B77ED6"/>
    <w:rsid w:val="00B80935"/>
    <w:rsid w:val="00B82261"/>
    <w:rsid w:val="00B85280"/>
    <w:rsid w:val="00B865A1"/>
    <w:rsid w:val="00B87CEF"/>
    <w:rsid w:val="00B90C4F"/>
    <w:rsid w:val="00B9129E"/>
    <w:rsid w:val="00B92332"/>
    <w:rsid w:val="00B93E9B"/>
    <w:rsid w:val="00B9746B"/>
    <w:rsid w:val="00BA0D55"/>
    <w:rsid w:val="00BA1899"/>
    <w:rsid w:val="00BA2F1C"/>
    <w:rsid w:val="00BA563D"/>
    <w:rsid w:val="00BB25F2"/>
    <w:rsid w:val="00BB4A10"/>
    <w:rsid w:val="00BB7929"/>
    <w:rsid w:val="00BC1C1C"/>
    <w:rsid w:val="00BC424A"/>
    <w:rsid w:val="00BC5AF9"/>
    <w:rsid w:val="00BC7471"/>
    <w:rsid w:val="00BD1F33"/>
    <w:rsid w:val="00BD5C57"/>
    <w:rsid w:val="00BD70BE"/>
    <w:rsid w:val="00BE25C6"/>
    <w:rsid w:val="00BE365F"/>
    <w:rsid w:val="00BF0BB5"/>
    <w:rsid w:val="00BF35A1"/>
    <w:rsid w:val="00BF390B"/>
    <w:rsid w:val="00BF69D7"/>
    <w:rsid w:val="00C03A2F"/>
    <w:rsid w:val="00C06E8A"/>
    <w:rsid w:val="00C13DBC"/>
    <w:rsid w:val="00C15A9A"/>
    <w:rsid w:val="00C16A5F"/>
    <w:rsid w:val="00C16AFF"/>
    <w:rsid w:val="00C22E95"/>
    <w:rsid w:val="00C24030"/>
    <w:rsid w:val="00C2496B"/>
    <w:rsid w:val="00C2568A"/>
    <w:rsid w:val="00C268E2"/>
    <w:rsid w:val="00C27806"/>
    <w:rsid w:val="00C27BF8"/>
    <w:rsid w:val="00C27EA7"/>
    <w:rsid w:val="00C327A3"/>
    <w:rsid w:val="00C32CBA"/>
    <w:rsid w:val="00C3361F"/>
    <w:rsid w:val="00C35FF3"/>
    <w:rsid w:val="00C3726A"/>
    <w:rsid w:val="00C40A3D"/>
    <w:rsid w:val="00C40FFF"/>
    <w:rsid w:val="00C42E0B"/>
    <w:rsid w:val="00C44853"/>
    <w:rsid w:val="00C4511C"/>
    <w:rsid w:val="00C4590E"/>
    <w:rsid w:val="00C47388"/>
    <w:rsid w:val="00C47D50"/>
    <w:rsid w:val="00C570EC"/>
    <w:rsid w:val="00C5746F"/>
    <w:rsid w:val="00C62EF8"/>
    <w:rsid w:val="00C6569B"/>
    <w:rsid w:val="00C6600D"/>
    <w:rsid w:val="00C6622B"/>
    <w:rsid w:val="00C66C38"/>
    <w:rsid w:val="00C67CDB"/>
    <w:rsid w:val="00C7072A"/>
    <w:rsid w:val="00C70A2D"/>
    <w:rsid w:val="00C7134A"/>
    <w:rsid w:val="00C7140D"/>
    <w:rsid w:val="00C72BB4"/>
    <w:rsid w:val="00C76DD0"/>
    <w:rsid w:val="00C77D9A"/>
    <w:rsid w:val="00C82223"/>
    <w:rsid w:val="00C856A4"/>
    <w:rsid w:val="00C86984"/>
    <w:rsid w:val="00C90BD7"/>
    <w:rsid w:val="00C924EC"/>
    <w:rsid w:val="00C94024"/>
    <w:rsid w:val="00C94D60"/>
    <w:rsid w:val="00C94F33"/>
    <w:rsid w:val="00C965DC"/>
    <w:rsid w:val="00C97751"/>
    <w:rsid w:val="00CA3C14"/>
    <w:rsid w:val="00CB22D4"/>
    <w:rsid w:val="00CB30E6"/>
    <w:rsid w:val="00CB400C"/>
    <w:rsid w:val="00CB41F5"/>
    <w:rsid w:val="00CB4293"/>
    <w:rsid w:val="00CB63E2"/>
    <w:rsid w:val="00CB7F9D"/>
    <w:rsid w:val="00CC02DF"/>
    <w:rsid w:val="00CC58EF"/>
    <w:rsid w:val="00CD0802"/>
    <w:rsid w:val="00CE09D4"/>
    <w:rsid w:val="00CE2FD9"/>
    <w:rsid w:val="00CE3D5E"/>
    <w:rsid w:val="00CE4046"/>
    <w:rsid w:val="00CE5431"/>
    <w:rsid w:val="00CE7C62"/>
    <w:rsid w:val="00CF0ECA"/>
    <w:rsid w:val="00CF5154"/>
    <w:rsid w:val="00CF7855"/>
    <w:rsid w:val="00D015B8"/>
    <w:rsid w:val="00D02098"/>
    <w:rsid w:val="00D04086"/>
    <w:rsid w:val="00D0421E"/>
    <w:rsid w:val="00D06535"/>
    <w:rsid w:val="00D1125E"/>
    <w:rsid w:val="00D13E0B"/>
    <w:rsid w:val="00D21328"/>
    <w:rsid w:val="00D21FF4"/>
    <w:rsid w:val="00D23071"/>
    <w:rsid w:val="00D23347"/>
    <w:rsid w:val="00D2462C"/>
    <w:rsid w:val="00D25339"/>
    <w:rsid w:val="00D268D3"/>
    <w:rsid w:val="00D3130F"/>
    <w:rsid w:val="00D332F9"/>
    <w:rsid w:val="00D33B98"/>
    <w:rsid w:val="00D3401F"/>
    <w:rsid w:val="00D34049"/>
    <w:rsid w:val="00D344D9"/>
    <w:rsid w:val="00D3495A"/>
    <w:rsid w:val="00D36B50"/>
    <w:rsid w:val="00D37932"/>
    <w:rsid w:val="00D45530"/>
    <w:rsid w:val="00D466CB"/>
    <w:rsid w:val="00D51E1F"/>
    <w:rsid w:val="00D5366D"/>
    <w:rsid w:val="00D53ACE"/>
    <w:rsid w:val="00D55070"/>
    <w:rsid w:val="00D61366"/>
    <w:rsid w:val="00D63359"/>
    <w:rsid w:val="00D638E6"/>
    <w:rsid w:val="00D643EC"/>
    <w:rsid w:val="00D64763"/>
    <w:rsid w:val="00D64998"/>
    <w:rsid w:val="00D72050"/>
    <w:rsid w:val="00D81463"/>
    <w:rsid w:val="00D842A4"/>
    <w:rsid w:val="00D915B8"/>
    <w:rsid w:val="00D95BE4"/>
    <w:rsid w:val="00DA2B71"/>
    <w:rsid w:val="00DA3A47"/>
    <w:rsid w:val="00DA6EC7"/>
    <w:rsid w:val="00DB0220"/>
    <w:rsid w:val="00DB035C"/>
    <w:rsid w:val="00DB11EC"/>
    <w:rsid w:val="00DB25E0"/>
    <w:rsid w:val="00DB581E"/>
    <w:rsid w:val="00DC175C"/>
    <w:rsid w:val="00DC48FD"/>
    <w:rsid w:val="00DE55E1"/>
    <w:rsid w:val="00DE7B72"/>
    <w:rsid w:val="00DF2C70"/>
    <w:rsid w:val="00DF3275"/>
    <w:rsid w:val="00DF3A86"/>
    <w:rsid w:val="00E05741"/>
    <w:rsid w:val="00E10652"/>
    <w:rsid w:val="00E11492"/>
    <w:rsid w:val="00E13441"/>
    <w:rsid w:val="00E17F61"/>
    <w:rsid w:val="00E208E5"/>
    <w:rsid w:val="00E23A10"/>
    <w:rsid w:val="00E25AE9"/>
    <w:rsid w:val="00E27B2D"/>
    <w:rsid w:val="00E349C4"/>
    <w:rsid w:val="00E3740A"/>
    <w:rsid w:val="00E37B26"/>
    <w:rsid w:val="00E453E4"/>
    <w:rsid w:val="00E525F3"/>
    <w:rsid w:val="00E54884"/>
    <w:rsid w:val="00E549B9"/>
    <w:rsid w:val="00E56D63"/>
    <w:rsid w:val="00E56EE4"/>
    <w:rsid w:val="00E70565"/>
    <w:rsid w:val="00E70C37"/>
    <w:rsid w:val="00E805DB"/>
    <w:rsid w:val="00E823F0"/>
    <w:rsid w:val="00E824A4"/>
    <w:rsid w:val="00E8346E"/>
    <w:rsid w:val="00E90E3E"/>
    <w:rsid w:val="00E94355"/>
    <w:rsid w:val="00E96D54"/>
    <w:rsid w:val="00EB0131"/>
    <w:rsid w:val="00EB05CC"/>
    <w:rsid w:val="00EB32B2"/>
    <w:rsid w:val="00EB5642"/>
    <w:rsid w:val="00EB5656"/>
    <w:rsid w:val="00EB689D"/>
    <w:rsid w:val="00EB79D9"/>
    <w:rsid w:val="00EB7BF4"/>
    <w:rsid w:val="00EC13B1"/>
    <w:rsid w:val="00EC1A20"/>
    <w:rsid w:val="00EC2143"/>
    <w:rsid w:val="00EC432A"/>
    <w:rsid w:val="00ED4E59"/>
    <w:rsid w:val="00ED563D"/>
    <w:rsid w:val="00EE03D8"/>
    <w:rsid w:val="00EE3877"/>
    <w:rsid w:val="00EF0BA1"/>
    <w:rsid w:val="00EF1FD9"/>
    <w:rsid w:val="00EF328D"/>
    <w:rsid w:val="00EF5C9C"/>
    <w:rsid w:val="00EF7DEA"/>
    <w:rsid w:val="00F01AE1"/>
    <w:rsid w:val="00F06658"/>
    <w:rsid w:val="00F06B97"/>
    <w:rsid w:val="00F117CB"/>
    <w:rsid w:val="00F12620"/>
    <w:rsid w:val="00F12A5F"/>
    <w:rsid w:val="00F12FCF"/>
    <w:rsid w:val="00F13F59"/>
    <w:rsid w:val="00F148C1"/>
    <w:rsid w:val="00F15F19"/>
    <w:rsid w:val="00F16849"/>
    <w:rsid w:val="00F171F2"/>
    <w:rsid w:val="00F1770C"/>
    <w:rsid w:val="00F24CFC"/>
    <w:rsid w:val="00F24E3D"/>
    <w:rsid w:val="00F24FCE"/>
    <w:rsid w:val="00F26D6D"/>
    <w:rsid w:val="00F41CEF"/>
    <w:rsid w:val="00F43293"/>
    <w:rsid w:val="00F45DA8"/>
    <w:rsid w:val="00F47FC8"/>
    <w:rsid w:val="00F50D53"/>
    <w:rsid w:val="00F51E80"/>
    <w:rsid w:val="00F579DB"/>
    <w:rsid w:val="00F650A3"/>
    <w:rsid w:val="00F81066"/>
    <w:rsid w:val="00F81E1F"/>
    <w:rsid w:val="00F8218C"/>
    <w:rsid w:val="00F85921"/>
    <w:rsid w:val="00F91461"/>
    <w:rsid w:val="00F92F6F"/>
    <w:rsid w:val="00F93E35"/>
    <w:rsid w:val="00F940CF"/>
    <w:rsid w:val="00F94CB5"/>
    <w:rsid w:val="00F95194"/>
    <w:rsid w:val="00F973FB"/>
    <w:rsid w:val="00FA2967"/>
    <w:rsid w:val="00FA4CDA"/>
    <w:rsid w:val="00FB0914"/>
    <w:rsid w:val="00FB54C6"/>
    <w:rsid w:val="00FB5E86"/>
    <w:rsid w:val="00FC00CB"/>
    <w:rsid w:val="00FC1A65"/>
    <w:rsid w:val="00FC3A20"/>
    <w:rsid w:val="00FC4EA2"/>
    <w:rsid w:val="00FC7FC9"/>
    <w:rsid w:val="00FD0F85"/>
    <w:rsid w:val="00FD28A0"/>
    <w:rsid w:val="00FD328B"/>
    <w:rsid w:val="00FD3370"/>
    <w:rsid w:val="00FD341D"/>
    <w:rsid w:val="00FD384A"/>
    <w:rsid w:val="00FD3904"/>
    <w:rsid w:val="00FD7D62"/>
    <w:rsid w:val="00FE4AD1"/>
    <w:rsid w:val="00FE6D70"/>
    <w:rsid w:val="00FE7FEA"/>
    <w:rsid w:val="00FF0325"/>
    <w:rsid w:val="00FF0704"/>
    <w:rsid w:val="00FF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qFormat/>
    <w:rsid w:val="004022F6"/>
    <w:pPr>
      <w:spacing w:after="160" w:line="260" w:lineRule="atLeast"/>
    </w:pPr>
    <w:rPr>
      <w:rFonts w:ascii="Arial" w:eastAsia="Cambria" w:hAnsi="Arial" w:cs="Arial"/>
      <w:color w:val="575A5D"/>
      <w:sz w:val="20"/>
      <w:szCs w:val="20"/>
    </w:rPr>
  </w:style>
  <w:style w:type="paragraph" w:styleId="ListParagraph">
    <w:name w:val="List Paragraph"/>
    <w:basedOn w:val="Normal"/>
    <w:uiPriority w:val="34"/>
    <w:qFormat/>
    <w:rsid w:val="004022F6"/>
    <w:pPr>
      <w:ind w:left="720"/>
      <w:contextualSpacing/>
    </w:pPr>
  </w:style>
  <w:style w:type="paragraph" w:styleId="NoSpacing">
    <w:name w:val="No Spacing"/>
    <w:uiPriority w:val="1"/>
    <w:qFormat/>
    <w:rsid w:val="004022F6"/>
    <w:pPr>
      <w:spacing w:after="0" w:line="240" w:lineRule="auto"/>
    </w:pPr>
  </w:style>
  <w:style w:type="paragraph" w:styleId="BalloonText">
    <w:name w:val="Balloon Text"/>
    <w:basedOn w:val="Normal"/>
    <w:link w:val="BalloonTextChar"/>
    <w:uiPriority w:val="99"/>
    <w:semiHidden/>
    <w:unhideWhenUsed/>
    <w:rsid w:val="0040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2F6"/>
    <w:rPr>
      <w:rFonts w:ascii="Tahoma" w:hAnsi="Tahoma" w:cs="Tahoma"/>
      <w:sz w:val="16"/>
      <w:szCs w:val="16"/>
    </w:rPr>
  </w:style>
  <w:style w:type="paragraph" w:styleId="Header">
    <w:name w:val="header"/>
    <w:basedOn w:val="Normal"/>
    <w:link w:val="HeaderChar"/>
    <w:uiPriority w:val="99"/>
    <w:unhideWhenUsed/>
    <w:rsid w:val="00923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5D"/>
  </w:style>
  <w:style w:type="paragraph" w:styleId="Footer">
    <w:name w:val="footer"/>
    <w:basedOn w:val="Normal"/>
    <w:link w:val="FooterChar"/>
    <w:uiPriority w:val="99"/>
    <w:unhideWhenUsed/>
    <w:rsid w:val="00923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75D"/>
  </w:style>
  <w:style w:type="character" w:styleId="Hyperlink">
    <w:name w:val="Hyperlink"/>
    <w:basedOn w:val="DefaultParagraphFont"/>
    <w:uiPriority w:val="99"/>
    <w:unhideWhenUsed/>
    <w:rsid w:val="00047875"/>
    <w:rPr>
      <w:color w:val="0000FF" w:themeColor="hyperlink"/>
      <w:u w:val="single"/>
    </w:rPr>
  </w:style>
  <w:style w:type="character" w:styleId="FollowedHyperlink">
    <w:name w:val="FollowedHyperlink"/>
    <w:basedOn w:val="DefaultParagraphFont"/>
    <w:uiPriority w:val="99"/>
    <w:semiHidden/>
    <w:unhideWhenUsed/>
    <w:rsid w:val="008F668A"/>
    <w:rPr>
      <w:color w:val="800080" w:themeColor="followedHyperlink"/>
      <w:u w:val="single"/>
    </w:rPr>
  </w:style>
  <w:style w:type="table" w:styleId="TableGrid">
    <w:name w:val="Table Grid"/>
    <w:basedOn w:val="TableNormal"/>
    <w:uiPriority w:val="59"/>
    <w:rsid w:val="00F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9B4"/>
    <w:rPr>
      <w:sz w:val="16"/>
      <w:szCs w:val="16"/>
    </w:rPr>
  </w:style>
  <w:style w:type="paragraph" w:styleId="CommentText">
    <w:name w:val="annotation text"/>
    <w:basedOn w:val="Normal"/>
    <w:link w:val="CommentTextChar"/>
    <w:uiPriority w:val="99"/>
    <w:semiHidden/>
    <w:unhideWhenUsed/>
    <w:rsid w:val="003979B4"/>
    <w:pPr>
      <w:spacing w:line="240" w:lineRule="auto"/>
    </w:pPr>
    <w:rPr>
      <w:sz w:val="20"/>
      <w:szCs w:val="20"/>
    </w:rPr>
  </w:style>
  <w:style w:type="character" w:customStyle="1" w:styleId="CommentTextChar">
    <w:name w:val="Comment Text Char"/>
    <w:basedOn w:val="DefaultParagraphFont"/>
    <w:link w:val="CommentText"/>
    <w:uiPriority w:val="99"/>
    <w:semiHidden/>
    <w:rsid w:val="003979B4"/>
    <w:rPr>
      <w:sz w:val="20"/>
      <w:szCs w:val="20"/>
    </w:rPr>
  </w:style>
  <w:style w:type="paragraph" w:styleId="CommentSubject">
    <w:name w:val="annotation subject"/>
    <w:basedOn w:val="CommentText"/>
    <w:next w:val="CommentText"/>
    <w:link w:val="CommentSubjectChar"/>
    <w:uiPriority w:val="99"/>
    <w:semiHidden/>
    <w:unhideWhenUsed/>
    <w:rsid w:val="003979B4"/>
    <w:rPr>
      <w:b/>
      <w:bCs/>
    </w:rPr>
  </w:style>
  <w:style w:type="character" w:customStyle="1" w:styleId="CommentSubjectChar">
    <w:name w:val="Comment Subject Char"/>
    <w:basedOn w:val="CommentTextChar"/>
    <w:link w:val="CommentSubject"/>
    <w:uiPriority w:val="99"/>
    <w:semiHidden/>
    <w:rsid w:val="003979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qFormat/>
    <w:rsid w:val="004022F6"/>
    <w:pPr>
      <w:spacing w:after="160" w:line="260" w:lineRule="atLeast"/>
    </w:pPr>
    <w:rPr>
      <w:rFonts w:ascii="Arial" w:eastAsia="Cambria" w:hAnsi="Arial" w:cs="Arial"/>
      <w:color w:val="575A5D"/>
      <w:sz w:val="20"/>
      <w:szCs w:val="20"/>
    </w:rPr>
  </w:style>
  <w:style w:type="paragraph" w:styleId="ListParagraph">
    <w:name w:val="List Paragraph"/>
    <w:basedOn w:val="Normal"/>
    <w:uiPriority w:val="34"/>
    <w:qFormat/>
    <w:rsid w:val="004022F6"/>
    <w:pPr>
      <w:ind w:left="720"/>
      <w:contextualSpacing/>
    </w:pPr>
  </w:style>
  <w:style w:type="paragraph" w:styleId="NoSpacing">
    <w:name w:val="No Spacing"/>
    <w:uiPriority w:val="1"/>
    <w:qFormat/>
    <w:rsid w:val="004022F6"/>
    <w:pPr>
      <w:spacing w:after="0" w:line="240" w:lineRule="auto"/>
    </w:pPr>
  </w:style>
  <w:style w:type="paragraph" w:styleId="BalloonText">
    <w:name w:val="Balloon Text"/>
    <w:basedOn w:val="Normal"/>
    <w:link w:val="BalloonTextChar"/>
    <w:uiPriority w:val="99"/>
    <w:semiHidden/>
    <w:unhideWhenUsed/>
    <w:rsid w:val="0040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2F6"/>
    <w:rPr>
      <w:rFonts w:ascii="Tahoma" w:hAnsi="Tahoma" w:cs="Tahoma"/>
      <w:sz w:val="16"/>
      <w:szCs w:val="16"/>
    </w:rPr>
  </w:style>
  <w:style w:type="paragraph" w:styleId="Header">
    <w:name w:val="header"/>
    <w:basedOn w:val="Normal"/>
    <w:link w:val="HeaderChar"/>
    <w:uiPriority w:val="99"/>
    <w:unhideWhenUsed/>
    <w:rsid w:val="00923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5D"/>
  </w:style>
  <w:style w:type="paragraph" w:styleId="Footer">
    <w:name w:val="footer"/>
    <w:basedOn w:val="Normal"/>
    <w:link w:val="FooterChar"/>
    <w:uiPriority w:val="99"/>
    <w:unhideWhenUsed/>
    <w:rsid w:val="00923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75D"/>
  </w:style>
  <w:style w:type="character" w:styleId="Hyperlink">
    <w:name w:val="Hyperlink"/>
    <w:basedOn w:val="DefaultParagraphFont"/>
    <w:uiPriority w:val="99"/>
    <w:unhideWhenUsed/>
    <w:rsid w:val="00047875"/>
    <w:rPr>
      <w:color w:val="0000FF" w:themeColor="hyperlink"/>
      <w:u w:val="single"/>
    </w:rPr>
  </w:style>
  <w:style w:type="character" w:styleId="FollowedHyperlink">
    <w:name w:val="FollowedHyperlink"/>
    <w:basedOn w:val="DefaultParagraphFont"/>
    <w:uiPriority w:val="99"/>
    <w:semiHidden/>
    <w:unhideWhenUsed/>
    <w:rsid w:val="008F668A"/>
    <w:rPr>
      <w:color w:val="800080" w:themeColor="followedHyperlink"/>
      <w:u w:val="single"/>
    </w:rPr>
  </w:style>
  <w:style w:type="table" w:styleId="TableGrid">
    <w:name w:val="Table Grid"/>
    <w:basedOn w:val="TableNormal"/>
    <w:uiPriority w:val="59"/>
    <w:rsid w:val="00F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9B4"/>
    <w:rPr>
      <w:sz w:val="16"/>
      <w:szCs w:val="16"/>
    </w:rPr>
  </w:style>
  <w:style w:type="paragraph" w:styleId="CommentText">
    <w:name w:val="annotation text"/>
    <w:basedOn w:val="Normal"/>
    <w:link w:val="CommentTextChar"/>
    <w:uiPriority w:val="99"/>
    <w:semiHidden/>
    <w:unhideWhenUsed/>
    <w:rsid w:val="003979B4"/>
    <w:pPr>
      <w:spacing w:line="240" w:lineRule="auto"/>
    </w:pPr>
    <w:rPr>
      <w:sz w:val="20"/>
      <w:szCs w:val="20"/>
    </w:rPr>
  </w:style>
  <w:style w:type="character" w:customStyle="1" w:styleId="CommentTextChar">
    <w:name w:val="Comment Text Char"/>
    <w:basedOn w:val="DefaultParagraphFont"/>
    <w:link w:val="CommentText"/>
    <w:uiPriority w:val="99"/>
    <w:semiHidden/>
    <w:rsid w:val="003979B4"/>
    <w:rPr>
      <w:sz w:val="20"/>
      <w:szCs w:val="20"/>
    </w:rPr>
  </w:style>
  <w:style w:type="paragraph" w:styleId="CommentSubject">
    <w:name w:val="annotation subject"/>
    <w:basedOn w:val="CommentText"/>
    <w:next w:val="CommentText"/>
    <w:link w:val="CommentSubjectChar"/>
    <w:uiPriority w:val="99"/>
    <w:semiHidden/>
    <w:unhideWhenUsed/>
    <w:rsid w:val="003979B4"/>
    <w:rPr>
      <w:b/>
      <w:bCs/>
    </w:rPr>
  </w:style>
  <w:style w:type="character" w:customStyle="1" w:styleId="CommentSubjectChar">
    <w:name w:val="Comment Subject Char"/>
    <w:basedOn w:val="CommentTextChar"/>
    <w:link w:val="CommentSubject"/>
    <w:uiPriority w:val="99"/>
    <w:semiHidden/>
    <w:rsid w:val="00397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3597">
      <w:bodyDiv w:val="1"/>
      <w:marLeft w:val="0"/>
      <w:marRight w:val="0"/>
      <w:marTop w:val="0"/>
      <w:marBottom w:val="0"/>
      <w:divBdr>
        <w:top w:val="none" w:sz="0" w:space="0" w:color="auto"/>
        <w:left w:val="none" w:sz="0" w:space="0" w:color="auto"/>
        <w:bottom w:val="none" w:sz="0" w:space="0" w:color="auto"/>
        <w:right w:val="none" w:sz="0" w:space="0" w:color="auto"/>
      </w:divBdr>
    </w:div>
    <w:div w:id="12715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ge.box.com/s/dns35q1ndbm561v1pum4" TargetMode="External"/><Relationship Id="rId13" Type="http://schemas.openxmlformats.org/officeDocument/2006/relationships/hyperlink" Target="http://www.helpage.org/global-agewatch/?gclid=CKTh3vKQpMACFUTkwgodaVIAL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sarah.gillam\Downloads\Ageing%20Index-FINAL-Nov1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fpa.org/public/home/publications/pid/11584" TargetMode="External"/><Relationship Id="rId5" Type="http://schemas.openxmlformats.org/officeDocument/2006/relationships/webSettings" Target="webSettings.xml"/><Relationship Id="rId15" Type="http://schemas.openxmlformats.org/officeDocument/2006/relationships/hyperlink" Target="mailto:sarah.gillam@helpage.org" TargetMode="External"/><Relationship Id="rId10" Type="http://schemas.openxmlformats.org/officeDocument/2006/relationships/hyperlink" Target="http://www.unfpa.org/public/home/publications/pid/11584" TargetMode="External"/><Relationship Id="rId4" Type="http://schemas.openxmlformats.org/officeDocument/2006/relationships/settings" Target="settings.xml"/><Relationship Id="rId9" Type="http://schemas.openxmlformats.org/officeDocument/2006/relationships/hyperlink" Target="http://www.helpage.org/get-involved/campaigns/age-demands-action/" TargetMode="External"/><Relationship Id="rId14" Type="http://schemas.openxmlformats.org/officeDocument/2006/relationships/hyperlink" Target="http://www.help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13202</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Gillam</dc:creator>
  <cp:lastModifiedBy>Caroline Dobbing</cp:lastModifiedBy>
  <cp:revision>2</cp:revision>
  <cp:lastPrinted>2014-09-08T14:02:00Z</cp:lastPrinted>
  <dcterms:created xsi:type="dcterms:W3CDTF">2014-09-29T16:21:00Z</dcterms:created>
  <dcterms:modified xsi:type="dcterms:W3CDTF">2014-09-29T16:21:00Z</dcterms:modified>
</cp:coreProperties>
</file>