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23E" w:rsidRDefault="0009423E" w:rsidP="0009423E">
      <w:pPr>
        <w:spacing w:after="0" w:line="240" w:lineRule="auto"/>
        <w:jc w:val="center"/>
        <w:rPr>
          <w:rFonts w:ascii="Arial" w:hAnsi="Arial" w:cs="Arial"/>
          <w:b/>
          <w:sz w:val="24"/>
          <w:szCs w:val="24"/>
        </w:rPr>
      </w:pPr>
      <w:r>
        <w:rPr>
          <w:rFonts w:ascii="Arial" w:hAnsi="Arial" w:cs="Arial"/>
          <w:b/>
          <w:noProof/>
          <w:sz w:val="24"/>
          <w:szCs w:val="24"/>
          <w:lang w:val="en-US"/>
        </w:rPr>
        <w:drawing>
          <wp:anchor distT="0" distB="0" distL="114300" distR="114300" simplePos="0" relativeHeight="251658240" behindDoc="1" locked="0" layoutInCell="1" allowOverlap="1">
            <wp:simplePos x="0" y="0"/>
            <wp:positionH relativeFrom="column">
              <wp:posOffset>5000625</wp:posOffset>
            </wp:positionH>
            <wp:positionV relativeFrom="paragraph">
              <wp:posOffset>-516255</wp:posOffset>
            </wp:positionV>
            <wp:extent cx="1485900" cy="815975"/>
            <wp:effectExtent l="0" t="0" r="0" b="3175"/>
            <wp:wrapTight wrapText="bothSides">
              <wp:wrapPolygon edited="0">
                <wp:start x="0" y="0"/>
                <wp:lineTo x="0" y="20675"/>
                <wp:lineTo x="13292" y="21180"/>
                <wp:lineTo x="21323" y="21180"/>
                <wp:lineTo x="21323" y="11598"/>
                <wp:lineTo x="20215" y="8068"/>
                <wp:lineTo x="20769" y="1513"/>
                <wp:lineTo x="18554" y="504"/>
                <wp:lineTo x="7200" y="0"/>
                <wp:lineTo x="0" y="0"/>
              </wp:wrapPolygon>
            </wp:wrapTight>
            <wp:docPr id="1" name="Picture 1" descr="Description: HAI-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AI-logo-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423E" w:rsidRDefault="0009423E" w:rsidP="0009423E">
      <w:pPr>
        <w:spacing w:after="0" w:line="240" w:lineRule="auto"/>
        <w:jc w:val="center"/>
        <w:rPr>
          <w:rFonts w:ascii="Arial" w:hAnsi="Arial" w:cs="Arial"/>
          <w:b/>
          <w:sz w:val="32"/>
          <w:szCs w:val="32"/>
        </w:rPr>
      </w:pPr>
    </w:p>
    <w:p w:rsidR="0009423E" w:rsidRDefault="0009423E" w:rsidP="0009423E">
      <w:pPr>
        <w:spacing w:after="0" w:line="240" w:lineRule="auto"/>
        <w:jc w:val="center"/>
        <w:rPr>
          <w:rFonts w:ascii="Arial" w:hAnsi="Arial" w:cs="Arial"/>
          <w:b/>
          <w:sz w:val="32"/>
          <w:szCs w:val="32"/>
        </w:rPr>
      </w:pPr>
      <w:r w:rsidRPr="007C53F5">
        <w:rPr>
          <w:rFonts w:ascii="Arial" w:hAnsi="Arial" w:cs="Arial"/>
          <w:b/>
          <w:sz w:val="32"/>
          <w:szCs w:val="32"/>
        </w:rPr>
        <w:t xml:space="preserve">Terms of Reference </w:t>
      </w:r>
    </w:p>
    <w:p w:rsidR="0009423E" w:rsidRDefault="0009423E" w:rsidP="0009423E">
      <w:pPr>
        <w:spacing w:after="0" w:line="240" w:lineRule="auto"/>
        <w:jc w:val="center"/>
        <w:rPr>
          <w:rFonts w:ascii="Arial" w:hAnsi="Arial" w:cs="Arial"/>
          <w:b/>
          <w:sz w:val="32"/>
          <w:szCs w:val="32"/>
        </w:rPr>
      </w:pPr>
    </w:p>
    <w:p w:rsidR="0009423E" w:rsidRDefault="0009423E" w:rsidP="0009423E">
      <w:pPr>
        <w:spacing w:after="0" w:line="240" w:lineRule="auto"/>
        <w:jc w:val="center"/>
        <w:rPr>
          <w:rFonts w:ascii="Arial" w:hAnsi="Arial" w:cs="Arial"/>
          <w:b/>
          <w:sz w:val="32"/>
          <w:szCs w:val="32"/>
        </w:rPr>
      </w:pPr>
      <w:r>
        <w:rPr>
          <w:rFonts w:ascii="Arial" w:hAnsi="Arial" w:cs="Arial"/>
          <w:b/>
          <w:sz w:val="32"/>
          <w:szCs w:val="32"/>
        </w:rPr>
        <w:t>Review of affiliate partnership and investment models</w:t>
      </w:r>
    </w:p>
    <w:p w:rsidR="0009423E" w:rsidRDefault="0009423E" w:rsidP="0009423E">
      <w:pPr>
        <w:spacing w:after="0" w:line="240" w:lineRule="auto"/>
        <w:rPr>
          <w:rFonts w:ascii="Arial" w:hAnsi="Arial" w:cs="Arial"/>
          <w:b/>
          <w:sz w:val="24"/>
          <w:szCs w:val="24"/>
        </w:rPr>
      </w:pPr>
    </w:p>
    <w:p w:rsidR="0009423E" w:rsidRDefault="0009423E" w:rsidP="0009423E">
      <w:pPr>
        <w:spacing w:after="0" w:line="240" w:lineRule="auto"/>
        <w:rPr>
          <w:rFonts w:ascii="Arial" w:hAnsi="Arial" w:cs="Arial"/>
          <w:b/>
          <w:sz w:val="24"/>
          <w:szCs w:val="24"/>
        </w:rPr>
      </w:pPr>
    </w:p>
    <w:p w:rsidR="0009423E" w:rsidRPr="00111A64" w:rsidRDefault="0009423E" w:rsidP="0009423E">
      <w:pPr>
        <w:spacing w:after="0" w:line="240" w:lineRule="auto"/>
        <w:rPr>
          <w:rFonts w:ascii="Arial" w:hAnsi="Arial" w:cs="Arial"/>
          <w:b/>
          <w:sz w:val="24"/>
          <w:szCs w:val="24"/>
        </w:rPr>
      </w:pPr>
      <w:bookmarkStart w:id="0" w:name="_GoBack"/>
      <w:bookmarkEnd w:id="0"/>
    </w:p>
    <w:p w:rsidR="0009423E" w:rsidRDefault="0009423E" w:rsidP="0009423E">
      <w:pPr>
        <w:pStyle w:val="ListParagraph"/>
        <w:numPr>
          <w:ilvl w:val="0"/>
          <w:numId w:val="4"/>
        </w:numPr>
        <w:spacing w:after="0" w:line="240" w:lineRule="auto"/>
        <w:rPr>
          <w:rFonts w:ascii="Arial" w:hAnsi="Arial" w:cs="Arial"/>
          <w:b/>
          <w:sz w:val="24"/>
          <w:szCs w:val="24"/>
        </w:rPr>
      </w:pPr>
      <w:r w:rsidRPr="00F10B12">
        <w:rPr>
          <w:rFonts w:ascii="Arial" w:hAnsi="Arial" w:cs="Arial"/>
          <w:b/>
          <w:sz w:val="24"/>
          <w:szCs w:val="24"/>
        </w:rPr>
        <w:t xml:space="preserve">Summary </w:t>
      </w:r>
    </w:p>
    <w:p w:rsidR="0009423E" w:rsidRPr="00F10B12" w:rsidRDefault="0009423E" w:rsidP="0009423E">
      <w:pPr>
        <w:pStyle w:val="ListParagraph"/>
        <w:spacing w:after="0" w:line="240" w:lineRule="auto"/>
        <w:ind w:left="360"/>
        <w:rPr>
          <w:rFonts w:ascii="Arial" w:hAnsi="Arial" w:cs="Arial"/>
          <w:b/>
          <w:sz w:val="24"/>
          <w:szCs w:val="24"/>
        </w:rPr>
      </w:pPr>
    </w:p>
    <w:p w:rsidR="0009423E" w:rsidRDefault="0009423E" w:rsidP="0009423E">
      <w:pPr>
        <w:spacing w:after="0" w:line="240" w:lineRule="auto"/>
        <w:rPr>
          <w:rFonts w:ascii="Arial" w:hAnsi="Arial" w:cs="Arial"/>
          <w:sz w:val="24"/>
          <w:szCs w:val="24"/>
        </w:rPr>
      </w:pPr>
      <w:r w:rsidRPr="00111A64">
        <w:rPr>
          <w:rFonts w:ascii="Arial" w:hAnsi="Arial" w:cs="Arial"/>
          <w:sz w:val="24"/>
          <w:szCs w:val="24"/>
        </w:rPr>
        <w:t xml:space="preserve">HelpAge International’s work is </w:t>
      </w:r>
      <w:r>
        <w:rPr>
          <w:rFonts w:ascii="Arial" w:hAnsi="Arial" w:cs="Arial"/>
          <w:sz w:val="24"/>
          <w:szCs w:val="24"/>
        </w:rPr>
        <w:t xml:space="preserve">broadened and </w:t>
      </w:r>
      <w:r w:rsidRPr="00111A64">
        <w:rPr>
          <w:rFonts w:ascii="Arial" w:hAnsi="Arial" w:cs="Arial"/>
          <w:sz w:val="24"/>
          <w:szCs w:val="24"/>
        </w:rPr>
        <w:t xml:space="preserve">strengthened </w:t>
      </w:r>
      <w:r>
        <w:rPr>
          <w:rFonts w:ascii="Arial" w:hAnsi="Arial" w:cs="Arial"/>
          <w:sz w:val="24"/>
          <w:szCs w:val="24"/>
        </w:rPr>
        <w:t xml:space="preserve">through its </w:t>
      </w:r>
      <w:r w:rsidRPr="00111A64">
        <w:rPr>
          <w:rFonts w:ascii="Arial" w:hAnsi="Arial" w:cs="Arial"/>
          <w:sz w:val="24"/>
          <w:szCs w:val="24"/>
        </w:rPr>
        <w:t xml:space="preserve">global network of affiliated organisations. </w:t>
      </w:r>
      <w:r>
        <w:rPr>
          <w:rFonts w:ascii="Arial" w:hAnsi="Arial" w:cs="Arial"/>
          <w:sz w:val="24"/>
          <w:szCs w:val="24"/>
        </w:rPr>
        <w:t xml:space="preserve">Over the past six years, HelpAge has worked more closely with, and invested in, a small number of its affiliates, with one of the primary objectives being to diversify and generate new income streams for HelpAge’s programmes. These relationships have been formalised through individual partnerships agreements, some of which </w:t>
      </w:r>
      <w:r w:rsidRPr="00111A64">
        <w:rPr>
          <w:rFonts w:ascii="Arial" w:hAnsi="Arial" w:cs="Arial"/>
          <w:sz w:val="24"/>
          <w:szCs w:val="24"/>
        </w:rPr>
        <w:t xml:space="preserve">will </w:t>
      </w:r>
      <w:r>
        <w:rPr>
          <w:rFonts w:ascii="Arial" w:hAnsi="Arial" w:cs="Arial"/>
          <w:sz w:val="24"/>
          <w:szCs w:val="24"/>
        </w:rPr>
        <w:t xml:space="preserve">expire at the </w:t>
      </w:r>
      <w:r w:rsidRPr="00111A64">
        <w:rPr>
          <w:rFonts w:ascii="Arial" w:hAnsi="Arial" w:cs="Arial"/>
          <w:sz w:val="24"/>
          <w:szCs w:val="24"/>
        </w:rPr>
        <w:t>end of 201</w:t>
      </w:r>
      <w:r>
        <w:rPr>
          <w:rFonts w:ascii="Arial" w:hAnsi="Arial" w:cs="Arial"/>
          <w:sz w:val="24"/>
          <w:szCs w:val="24"/>
        </w:rPr>
        <w:t>3</w:t>
      </w:r>
      <w:r w:rsidRPr="00111A64">
        <w:rPr>
          <w:rFonts w:ascii="Arial" w:hAnsi="Arial" w:cs="Arial"/>
          <w:sz w:val="24"/>
          <w:szCs w:val="24"/>
        </w:rPr>
        <w:t>. The purpose of this consultancy is to review the successes and challenges of these partnership</w:t>
      </w:r>
      <w:r>
        <w:rPr>
          <w:rFonts w:ascii="Arial" w:hAnsi="Arial" w:cs="Arial"/>
          <w:sz w:val="24"/>
          <w:szCs w:val="24"/>
        </w:rPr>
        <w:t>s</w:t>
      </w:r>
      <w:r w:rsidRPr="00111A64">
        <w:rPr>
          <w:rFonts w:ascii="Arial" w:hAnsi="Arial" w:cs="Arial"/>
          <w:sz w:val="24"/>
          <w:szCs w:val="24"/>
        </w:rPr>
        <w:t>, specifically with regards to</w:t>
      </w:r>
      <w:r>
        <w:rPr>
          <w:rFonts w:ascii="Arial" w:hAnsi="Arial" w:cs="Arial"/>
          <w:sz w:val="24"/>
          <w:szCs w:val="24"/>
        </w:rPr>
        <w:t xml:space="preserve"> the</w:t>
      </w:r>
      <w:r w:rsidRPr="00111A64">
        <w:rPr>
          <w:rFonts w:ascii="Arial" w:hAnsi="Arial" w:cs="Arial"/>
          <w:sz w:val="24"/>
          <w:szCs w:val="24"/>
        </w:rPr>
        <w:t xml:space="preserve"> </w:t>
      </w:r>
      <w:r>
        <w:rPr>
          <w:rFonts w:ascii="Arial" w:hAnsi="Arial" w:cs="Arial"/>
          <w:sz w:val="24"/>
          <w:szCs w:val="24"/>
        </w:rPr>
        <w:t xml:space="preserve">fundraising objective.  One of the key outputs will be an assessment of value for money and cost effectiveness of the partnerships and recommendations for a more consistent and transparent investment model(s).  </w:t>
      </w:r>
    </w:p>
    <w:p w:rsidR="0009423E" w:rsidRDefault="0009423E" w:rsidP="0009423E">
      <w:pPr>
        <w:spacing w:after="0" w:line="240" w:lineRule="auto"/>
        <w:rPr>
          <w:rFonts w:ascii="Arial" w:hAnsi="Arial" w:cs="Arial"/>
          <w:sz w:val="24"/>
          <w:szCs w:val="24"/>
        </w:rPr>
      </w:pPr>
    </w:p>
    <w:p w:rsidR="0009423E" w:rsidRPr="00111A64" w:rsidRDefault="0009423E" w:rsidP="0009423E">
      <w:pPr>
        <w:spacing w:after="0" w:line="240" w:lineRule="auto"/>
        <w:rPr>
          <w:rFonts w:ascii="Arial" w:hAnsi="Arial" w:cs="Arial"/>
          <w:sz w:val="24"/>
          <w:szCs w:val="24"/>
        </w:rPr>
      </w:pPr>
    </w:p>
    <w:p w:rsidR="0009423E" w:rsidRPr="00F10B12" w:rsidRDefault="0009423E" w:rsidP="0009423E">
      <w:pPr>
        <w:pStyle w:val="ListParagraph"/>
        <w:numPr>
          <w:ilvl w:val="0"/>
          <w:numId w:val="4"/>
        </w:numPr>
        <w:spacing w:after="0" w:line="240" w:lineRule="auto"/>
        <w:rPr>
          <w:rFonts w:ascii="Arial" w:hAnsi="Arial" w:cs="Arial"/>
          <w:b/>
          <w:sz w:val="24"/>
          <w:szCs w:val="24"/>
        </w:rPr>
      </w:pPr>
      <w:r w:rsidRPr="00F10B12">
        <w:rPr>
          <w:rFonts w:ascii="Arial" w:hAnsi="Arial" w:cs="Arial"/>
          <w:b/>
          <w:sz w:val="24"/>
          <w:szCs w:val="24"/>
        </w:rPr>
        <w:t>Background</w:t>
      </w:r>
    </w:p>
    <w:p w:rsidR="0009423E" w:rsidRPr="00111A64" w:rsidRDefault="0009423E" w:rsidP="0009423E">
      <w:pPr>
        <w:pStyle w:val="ListParagraph"/>
        <w:spacing w:after="0" w:line="240" w:lineRule="auto"/>
        <w:ind w:left="360"/>
        <w:rPr>
          <w:rFonts w:ascii="Arial" w:hAnsi="Arial" w:cs="Arial"/>
          <w:sz w:val="24"/>
          <w:szCs w:val="24"/>
        </w:rPr>
      </w:pPr>
    </w:p>
    <w:p w:rsidR="0009423E" w:rsidRDefault="0009423E" w:rsidP="0009423E">
      <w:pPr>
        <w:spacing w:after="0" w:line="240" w:lineRule="auto"/>
        <w:rPr>
          <w:rFonts w:ascii="Arial" w:hAnsi="Arial" w:cs="Arial"/>
          <w:sz w:val="24"/>
          <w:szCs w:val="24"/>
        </w:rPr>
      </w:pPr>
      <w:r>
        <w:rPr>
          <w:rFonts w:ascii="Arial" w:hAnsi="Arial" w:cs="Arial"/>
          <w:sz w:val="24"/>
          <w:szCs w:val="24"/>
        </w:rPr>
        <w:t>Partnership a</w:t>
      </w:r>
      <w:r w:rsidRPr="00111A64">
        <w:rPr>
          <w:rFonts w:ascii="Arial" w:hAnsi="Arial" w:cs="Arial"/>
          <w:sz w:val="24"/>
          <w:szCs w:val="24"/>
        </w:rPr>
        <w:t xml:space="preserve">greements have been signed between HelpAge and five independent organisations </w:t>
      </w:r>
      <w:r>
        <w:rPr>
          <w:rFonts w:ascii="Arial" w:hAnsi="Arial" w:cs="Arial"/>
          <w:sz w:val="24"/>
          <w:szCs w:val="24"/>
        </w:rPr>
        <w:t xml:space="preserve">(affiliates) </w:t>
      </w:r>
      <w:r w:rsidRPr="00111A64">
        <w:rPr>
          <w:rFonts w:ascii="Arial" w:hAnsi="Arial" w:cs="Arial"/>
          <w:sz w:val="24"/>
          <w:szCs w:val="24"/>
        </w:rPr>
        <w:t xml:space="preserve">in the HelpAge network: HelpAge Deutschland; HelpAge </w:t>
      </w:r>
      <w:proofErr w:type="spellStart"/>
      <w:r w:rsidRPr="006321BA">
        <w:rPr>
          <w:rFonts w:ascii="Arial" w:hAnsi="Arial" w:cs="Arial"/>
          <w:sz w:val="24"/>
          <w:szCs w:val="24"/>
        </w:rPr>
        <w:t>España</w:t>
      </w:r>
      <w:proofErr w:type="spellEnd"/>
      <w:r w:rsidRPr="00111A64">
        <w:rPr>
          <w:rFonts w:ascii="Arial" w:hAnsi="Arial" w:cs="Arial"/>
          <w:sz w:val="24"/>
          <w:szCs w:val="24"/>
        </w:rPr>
        <w:t xml:space="preserve">; </w:t>
      </w:r>
      <w:proofErr w:type="spellStart"/>
      <w:r w:rsidRPr="00111A64">
        <w:rPr>
          <w:rFonts w:ascii="Arial" w:hAnsi="Arial" w:cs="Arial"/>
          <w:sz w:val="24"/>
          <w:szCs w:val="24"/>
        </w:rPr>
        <w:t>WorldGranny</w:t>
      </w:r>
      <w:proofErr w:type="spellEnd"/>
      <w:r w:rsidRPr="00111A64">
        <w:rPr>
          <w:rFonts w:ascii="Arial" w:hAnsi="Arial" w:cs="Arial"/>
          <w:sz w:val="24"/>
          <w:szCs w:val="24"/>
        </w:rPr>
        <w:t xml:space="preserve"> (</w:t>
      </w:r>
      <w:r>
        <w:rPr>
          <w:rFonts w:ascii="Arial" w:hAnsi="Arial" w:cs="Arial"/>
          <w:sz w:val="24"/>
          <w:szCs w:val="24"/>
        </w:rPr>
        <w:t>T</w:t>
      </w:r>
      <w:r w:rsidRPr="00111A64">
        <w:rPr>
          <w:rFonts w:ascii="Arial" w:hAnsi="Arial" w:cs="Arial"/>
          <w:sz w:val="24"/>
          <w:szCs w:val="24"/>
        </w:rPr>
        <w:t xml:space="preserve">he Netherlands); HelpAge USA and HelpAge Korea. </w:t>
      </w:r>
      <w:r>
        <w:rPr>
          <w:rFonts w:ascii="Arial" w:hAnsi="Arial" w:cs="Arial"/>
          <w:sz w:val="24"/>
          <w:szCs w:val="24"/>
        </w:rPr>
        <w:t xml:space="preserve">For some, HelpAge was instrumental in </w:t>
      </w:r>
      <w:r w:rsidRPr="00111A64">
        <w:rPr>
          <w:rFonts w:ascii="Arial" w:hAnsi="Arial" w:cs="Arial"/>
          <w:sz w:val="24"/>
          <w:szCs w:val="24"/>
        </w:rPr>
        <w:t>the</w:t>
      </w:r>
      <w:r>
        <w:rPr>
          <w:rFonts w:ascii="Arial" w:hAnsi="Arial" w:cs="Arial"/>
          <w:sz w:val="24"/>
          <w:szCs w:val="24"/>
        </w:rPr>
        <w:t>ir</w:t>
      </w:r>
      <w:r w:rsidRPr="00111A64">
        <w:rPr>
          <w:rFonts w:ascii="Arial" w:hAnsi="Arial" w:cs="Arial"/>
          <w:sz w:val="24"/>
          <w:szCs w:val="24"/>
        </w:rPr>
        <w:t xml:space="preserve"> formation</w:t>
      </w:r>
      <w:r>
        <w:rPr>
          <w:rFonts w:ascii="Arial" w:hAnsi="Arial" w:cs="Arial"/>
          <w:sz w:val="24"/>
          <w:szCs w:val="24"/>
        </w:rPr>
        <w:t>/strengthening</w:t>
      </w:r>
      <w:r w:rsidRPr="00111A64">
        <w:rPr>
          <w:rFonts w:ascii="Arial" w:hAnsi="Arial" w:cs="Arial"/>
          <w:sz w:val="24"/>
          <w:szCs w:val="24"/>
        </w:rPr>
        <w:t>, for example</w:t>
      </w:r>
      <w:r>
        <w:rPr>
          <w:rFonts w:ascii="Arial" w:hAnsi="Arial" w:cs="Arial"/>
          <w:sz w:val="24"/>
          <w:szCs w:val="24"/>
        </w:rPr>
        <w:t>,</w:t>
      </w:r>
      <w:r w:rsidRPr="00111A64">
        <w:rPr>
          <w:rFonts w:ascii="Arial" w:hAnsi="Arial" w:cs="Arial"/>
          <w:sz w:val="24"/>
          <w:szCs w:val="24"/>
        </w:rPr>
        <w:t xml:space="preserve"> </w:t>
      </w:r>
      <w:r>
        <w:rPr>
          <w:rFonts w:ascii="Arial" w:hAnsi="Arial" w:cs="Arial"/>
          <w:sz w:val="24"/>
          <w:szCs w:val="24"/>
        </w:rPr>
        <w:t xml:space="preserve">the establishment of HelpAge International </w:t>
      </w:r>
      <w:proofErr w:type="spellStart"/>
      <w:r w:rsidRPr="006321BA">
        <w:rPr>
          <w:rFonts w:ascii="Arial" w:hAnsi="Arial" w:cs="Arial"/>
          <w:sz w:val="24"/>
          <w:szCs w:val="24"/>
        </w:rPr>
        <w:t>España</w:t>
      </w:r>
      <w:proofErr w:type="spellEnd"/>
      <w:r>
        <w:rPr>
          <w:rFonts w:ascii="Arial" w:hAnsi="Arial" w:cs="Arial"/>
          <w:sz w:val="24"/>
          <w:szCs w:val="24"/>
        </w:rPr>
        <w:t xml:space="preserve"> as a new entity in 2009, which now has its own</w:t>
      </w:r>
      <w:r w:rsidRPr="00111A64">
        <w:rPr>
          <w:rFonts w:ascii="Arial" w:hAnsi="Arial" w:cs="Arial"/>
          <w:sz w:val="24"/>
          <w:szCs w:val="24"/>
        </w:rPr>
        <w:t xml:space="preserve"> </w:t>
      </w:r>
      <w:r>
        <w:rPr>
          <w:rFonts w:ascii="Arial" w:hAnsi="Arial" w:cs="Arial"/>
          <w:sz w:val="24"/>
          <w:szCs w:val="24"/>
        </w:rPr>
        <w:t>B</w:t>
      </w:r>
      <w:r w:rsidRPr="00111A64">
        <w:rPr>
          <w:rFonts w:ascii="Arial" w:hAnsi="Arial" w:cs="Arial"/>
          <w:sz w:val="24"/>
          <w:szCs w:val="24"/>
        </w:rPr>
        <w:t xml:space="preserve">oard and staff. </w:t>
      </w:r>
      <w:r>
        <w:rPr>
          <w:rFonts w:ascii="Arial" w:hAnsi="Arial" w:cs="Arial"/>
          <w:sz w:val="24"/>
          <w:szCs w:val="24"/>
        </w:rPr>
        <w:t xml:space="preserve"> </w:t>
      </w:r>
      <w:r w:rsidRPr="00111A64">
        <w:rPr>
          <w:rFonts w:ascii="Arial" w:hAnsi="Arial" w:cs="Arial"/>
          <w:sz w:val="24"/>
          <w:szCs w:val="24"/>
        </w:rPr>
        <w:t xml:space="preserve">As well as being important </w:t>
      </w:r>
      <w:r>
        <w:rPr>
          <w:rFonts w:ascii="Arial" w:hAnsi="Arial" w:cs="Arial"/>
          <w:sz w:val="24"/>
          <w:szCs w:val="24"/>
        </w:rPr>
        <w:t xml:space="preserve">partners in the implementation of HelpAge’s policy and programme activities, </w:t>
      </w:r>
      <w:r w:rsidRPr="00111A64">
        <w:rPr>
          <w:rFonts w:ascii="Arial" w:hAnsi="Arial" w:cs="Arial"/>
          <w:sz w:val="24"/>
          <w:szCs w:val="24"/>
        </w:rPr>
        <w:t xml:space="preserve">these organisations </w:t>
      </w:r>
      <w:r>
        <w:rPr>
          <w:rFonts w:ascii="Arial" w:hAnsi="Arial" w:cs="Arial"/>
          <w:sz w:val="24"/>
          <w:szCs w:val="24"/>
        </w:rPr>
        <w:t>are able to facilitate</w:t>
      </w:r>
      <w:r w:rsidRPr="00111A64">
        <w:rPr>
          <w:rFonts w:ascii="Arial" w:hAnsi="Arial" w:cs="Arial"/>
          <w:sz w:val="24"/>
          <w:szCs w:val="24"/>
        </w:rPr>
        <w:t xml:space="preserve"> invaluable </w:t>
      </w:r>
      <w:r>
        <w:rPr>
          <w:rFonts w:ascii="Arial" w:hAnsi="Arial" w:cs="Arial"/>
          <w:sz w:val="24"/>
          <w:szCs w:val="24"/>
        </w:rPr>
        <w:t xml:space="preserve">fundraising </w:t>
      </w:r>
      <w:r w:rsidRPr="00111A64">
        <w:rPr>
          <w:rFonts w:ascii="Arial" w:hAnsi="Arial" w:cs="Arial"/>
          <w:sz w:val="24"/>
          <w:szCs w:val="24"/>
        </w:rPr>
        <w:t xml:space="preserve">opportunities </w:t>
      </w:r>
      <w:r>
        <w:rPr>
          <w:rFonts w:ascii="Arial" w:hAnsi="Arial" w:cs="Arial"/>
          <w:sz w:val="24"/>
          <w:szCs w:val="24"/>
        </w:rPr>
        <w:t xml:space="preserve">from public and </w:t>
      </w:r>
      <w:r w:rsidRPr="00111A64">
        <w:rPr>
          <w:rFonts w:ascii="Arial" w:hAnsi="Arial" w:cs="Arial"/>
          <w:sz w:val="24"/>
          <w:szCs w:val="24"/>
        </w:rPr>
        <w:t xml:space="preserve">private </w:t>
      </w:r>
      <w:r>
        <w:rPr>
          <w:rFonts w:ascii="Arial" w:hAnsi="Arial" w:cs="Arial"/>
          <w:sz w:val="24"/>
          <w:szCs w:val="24"/>
        </w:rPr>
        <w:t xml:space="preserve">funding </w:t>
      </w:r>
      <w:r w:rsidRPr="00111A64">
        <w:rPr>
          <w:rFonts w:ascii="Arial" w:hAnsi="Arial" w:cs="Arial"/>
          <w:sz w:val="24"/>
          <w:szCs w:val="24"/>
        </w:rPr>
        <w:t>sources</w:t>
      </w:r>
      <w:r>
        <w:rPr>
          <w:rFonts w:ascii="Arial" w:hAnsi="Arial" w:cs="Arial"/>
          <w:sz w:val="24"/>
          <w:szCs w:val="24"/>
        </w:rPr>
        <w:t xml:space="preserve"> and from institutional funders that are often inaccessible to HelpAge directly.</w:t>
      </w:r>
    </w:p>
    <w:p w:rsidR="0009423E" w:rsidRDefault="0009423E" w:rsidP="0009423E">
      <w:pPr>
        <w:spacing w:after="0" w:line="240" w:lineRule="auto"/>
        <w:rPr>
          <w:rFonts w:ascii="Arial" w:hAnsi="Arial" w:cs="Arial"/>
          <w:sz w:val="24"/>
          <w:szCs w:val="24"/>
        </w:rPr>
      </w:pPr>
    </w:p>
    <w:p w:rsidR="0009423E" w:rsidRDefault="0009423E" w:rsidP="0009423E">
      <w:pPr>
        <w:spacing w:after="0" w:line="240" w:lineRule="auto"/>
        <w:rPr>
          <w:rFonts w:ascii="Arial" w:hAnsi="Arial" w:cs="Arial"/>
          <w:sz w:val="24"/>
          <w:szCs w:val="24"/>
        </w:rPr>
      </w:pPr>
      <w:r w:rsidRPr="00111A64">
        <w:rPr>
          <w:rFonts w:ascii="Arial" w:hAnsi="Arial" w:cs="Arial"/>
          <w:sz w:val="24"/>
          <w:szCs w:val="24"/>
        </w:rPr>
        <w:t>Partnership agreements</w:t>
      </w:r>
      <w:r>
        <w:rPr>
          <w:rFonts w:ascii="Arial" w:hAnsi="Arial" w:cs="Arial"/>
          <w:sz w:val="24"/>
          <w:szCs w:val="24"/>
        </w:rPr>
        <w:t xml:space="preserve">, setting out the terms of the relationship, vary from affiliate to affiliate.  The agreements cover contributions to HelpAge’s advocacy and influencing objectives as well as </w:t>
      </w:r>
      <w:r w:rsidRPr="00111A64">
        <w:rPr>
          <w:rFonts w:ascii="Arial" w:hAnsi="Arial" w:cs="Arial"/>
          <w:sz w:val="24"/>
          <w:szCs w:val="24"/>
        </w:rPr>
        <w:t>fund</w:t>
      </w:r>
      <w:r>
        <w:rPr>
          <w:rFonts w:ascii="Arial" w:hAnsi="Arial" w:cs="Arial"/>
          <w:sz w:val="24"/>
          <w:szCs w:val="24"/>
        </w:rPr>
        <w:t xml:space="preserve">raising.  Financial investment arrangements which are attached to these partnership agreements also vary – they can take </w:t>
      </w:r>
      <w:r w:rsidRPr="00111A64">
        <w:rPr>
          <w:rFonts w:ascii="Arial" w:hAnsi="Arial" w:cs="Arial"/>
          <w:sz w:val="24"/>
          <w:szCs w:val="24"/>
        </w:rPr>
        <w:t xml:space="preserve">the form of </w:t>
      </w:r>
      <w:r>
        <w:rPr>
          <w:rFonts w:ascii="Arial" w:hAnsi="Arial" w:cs="Arial"/>
          <w:sz w:val="24"/>
          <w:szCs w:val="24"/>
        </w:rPr>
        <w:t xml:space="preserve">a </w:t>
      </w:r>
      <w:r w:rsidRPr="00111A64">
        <w:rPr>
          <w:rFonts w:ascii="Arial" w:hAnsi="Arial" w:cs="Arial"/>
          <w:sz w:val="24"/>
          <w:szCs w:val="24"/>
        </w:rPr>
        <w:t>loan</w:t>
      </w:r>
      <w:r>
        <w:rPr>
          <w:rFonts w:ascii="Arial" w:hAnsi="Arial" w:cs="Arial"/>
          <w:sz w:val="24"/>
          <w:szCs w:val="24"/>
        </w:rPr>
        <w:t xml:space="preserve"> or a grant and are linked directly to financial targets and return on investment.  </w:t>
      </w:r>
      <w:r w:rsidRPr="00111A64">
        <w:rPr>
          <w:rFonts w:ascii="Arial" w:hAnsi="Arial" w:cs="Arial"/>
          <w:sz w:val="24"/>
          <w:szCs w:val="24"/>
        </w:rPr>
        <w:t>Each partner agreement ha</w:t>
      </w:r>
      <w:r>
        <w:rPr>
          <w:rFonts w:ascii="Arial" w:hAnsi="Arial" w:cs="Arial"/>
          <w:sz w:val="24"/>
          <w:szCs w:val="24"/>
        </w:rPr>
        <w:t>s</w:t>
      </w:r>
      <w:r w:rsidRPr="00111A64">
        <w:rPr>
          <w:rFonts w:ascii="Arial" w:hAnsi="Arial" w:cs="Arial"/>
          <w:sz w:val="24"/>
          <w:szCs w:val="24"/>
        </w:rPr>
        <w:t xml:space="preserve"> a different approach, in part due to the different types of opportunities available in-country</w:t>
      </w:r>
      <w:r>
        <w:rPr>
          <w:rFonts w:ascii="Arial" w:hAnsi="Arial" w:cs="Arial"/>
          <w:sz w:val="24"/>
          <w:szCs w:val="24"/>
        </w:rPr>
        <w:t xml:space="preserve"> and the level of capacity of the affiliate</w:t>
      </w:r>
      <w:r w:rsidRPr="00111A64">
        <w:rPr>
          <w:rFonts w:ascii="Arial" w:hAnsi="Arial" w:cs="Arial"/>
          <w:sz w:val="24"/>
          <w:szCs w:val="24"/>
        </w:rPr>
        <w:t xml:space="preserve">. </w:t>
      </w:r>
    </w:p>
    <w:p w:rsidR="0009423E" w:rsidRDefault="0009423E" w:rsidP="0009423E">
      <w:pPr>
        <w:spacing w:after="0" w:line="240" w:lineRule="auto"/>
        <w:rPr>
          <w:rFonts w:ascii="Arial" w:hAnsi="Arial" w:cs="Arial"/>
          <w:sz w:val="24"/>
          <w:szCs w:val="24"/>
        </w:rPr>
      </w:pPr>
    </w:p>
    <w:p w:rsidR="0009423E" w:rsidRDefault="0009423E" w:rsidP="0009423E">
      <w:pPr>
        <w:spacing w:after="0" w:line="240" w:lineRule="auto"/>
        <w:rPr>
          <w:rFonts w:ascii="Arial" w:hAnsi="Arial" w:cs="Arial"/>
          <w:sz w:val="24"/>
          <w:szCs w:val="24"/>
        </w:rPr>
      </w:pPr>
      <w:r>
        <w:rPr>
          <w:rFonts w:ascii="Arial" w:hAnsi="Arial" w:cs="Arial"/>
          <w:sz w:val="24"/>
          <w:szCs w:val="24"/>
        </w:rPr>
        <w:t>Although not an explicit objective of the partnership agreements and associated investments, the financial sustainability of affiliates is fundamental to the approach adopted by HelpAge.   If and how HelpAge’s partnership and investment has contributed to the sustainability of individual affiliates has yet to be determined.</w:t>
      </w:r>
    </w:p>
    <w:p w:rsidR="0009423E" w:rsidRDefault="0009423E" w:rsidP="0009423E">
      <w:pPr>
        <w:spacing w:after="0" w:line="240" w:lineRule="auto"/>
        <w:rPr>
          <w:rFonts w:ascii="Arial" w:hAnsi="Arial" w:cs="Arial"/>
          <w:sz w:val="24"/>
          <w:szCs w:val="24"/>
        </w:rPr>
      </w:pPr>
    </w:p>
    <w:p w:rsidR="0009423E" w:rsidRDefault="0009423E" w:rsidP="0009423E">
      <w:pPr>
        <w:spacing w:after="0" w:line="240" w:lineRule="auto"/>
        <w:rPr>
          <w:rFonts w:ascii="Arial" w:hAnsi="Arial" w:cs="Arial"/>
          <w:sz w:val="24"/>
          <w:szCs w:val="24"/>
        </w:rPr>
      </w:pPr>
      <w:r>
        <w:rPr>
          <w:rFonts w:ascii="Arial" w:hAnsi="Arial" w:cs="Arial"/>
          <w:sz w:val="24"/>
          <w:szCs w:val="24"/>
        </w:rPr>
        <w:t xml:space="preserve">It is important to note that, to date, HelpAge has used its unrestricted funds for investment into affiliates, which in return has primarily generated restricted income for projects, and income to cover overhead costs related to projects is often shared with the affiliate; usually </w:t>
      </w:r>
      <w:proofErr w:type="gramStart"/>
      <w:r>
        <w:rPr>
          <w:rFonts w:ascii="Arial" w:hAnsi="Arial" w:cs="Arial"/>
          <w:sz w:val="24"/>
          <w:szCs w:val="24"/>
        </w:rPr>
        <w:t>on a 50:50 basis</w:t>
      </w:r>
      <w:proofErr w:type="gramEnd"/>
      <w:r>
        <w:rPr>
          <w:rFonts w:ascii="Arial" w:hAnsi="Arial" w:cs="Arial"/>
          <w:sz w:val="24"/>
          <w:szCs w:val="24"/>
        </w:rPr>
        <w:t xml:space="preserve">.  </w:t>
      </w:r>
    </w:p>
    <w:p w:rsidR="0009423E" w:rsidRDefault="0009423E" w:rsidP="0009423E">
      <w:pPr>
        <w:spacing w:after="0" w:line="240" w:lineRule="auto"/>
        <w:rPr>
          <w:rFonts w:ascii="Arial" w:hAnsi="Arial" w:cs="Arial"/>
          <w:sz w:val="24"/>
          <w:szCs w:val="24"/>
        </w:rPr>
      </w:pPr>
    </w:p>
    <w:p w:rsidR="0009423E" w:rsidRDefault="0009423E" w:rsidP="0009423E">
      <w:pPr>
        <w:spacing w:after="0" w:line="240" w:lineRule="auto"/>
        <w:rPr>
          <w:rFonts w:ascii="Arial" w:hAnsi="Arial" w:cs="Arial"/>
          <w:sz w:val="24"/>
          <w:szCs w:val="24"/>
        </w:rPr>
      </w:pPr>
      <w:r>
        <w:rPr>
          <w:rFonts w:ascii="Arial" w:hAnsi="Arial" w:cs="Arial"/>
          <w:sz w:val="24"/>
          <w:szCs w:val="24"/>
        </w:rPr>
        <w:t xml:space="preserve">More recently HelpAge has invested separately in joint fundraising initiatives with three of these affiliates in order to establish new income streams, i.e. from the general public; these new partnerships are governed by separate agreements and, although these will not be the subject of this detailed review, they will need to be taken into account and could influence recommendations.  </w:t>
      </w:r>
    </w:p>
    <w:p w:rsidR="0009423E" w:rsidRPr="00111A64" w:rsidRDefault="0009423E" w:rsidP="0009423E">
      <w:pPr>
        <w:spacing w:after="0" w:line="240" w:lineRule="auto"/>
        <w:rPr>
          <w:rFonts w:ascii="Arial" w:hAnsi="Arial" w:cs="Arial"/>
          <w:sz w:val="24"/>
          <w:szCs w:val="24"/>
        </w:rPr>
      </w:pPr>
    </w:p>
    <w:p w:rsidR="0009423E" w:rsidRDefault="0009423E" w:rsidP="0009423E">
      <w:pPr>
        <w:spacing w:after="0" w:line="240" w:lineRule="auto"/>
        <w:rPr>
          <w:rFonts w:ascii="Arial" w:hAnsi="Arial" w:cs="Arial"/>
          <w:sz w:val="24"/>
          <w:szCs w:val="24"/>
        </w:rPr>
      </w:pPr>
      <w:r w:rsidRPr="00111A64">
        <w:rPr>
          <w:rFonts w:ascii="Arial" w:hAnsi="Arial" w:cs="Arial"/>
          <w:sz w:val="24"/>
          <w:szCs w:val="24"/>
        </w:rPr>
        <w:t xml:space="preserve">This review will be focussed on three partnerships: HelpAge Deutschland, HelpAge USA and </w:t>
      </w:r>
      <w:proofErr w:type="spellStart"/>
      <w:r>
        <w:rPr>
          <w:rFonts w:ascii="Arial" w:hAnsi="Arial" w:cs="Arial"/>
          <w:sz w:val="24"/>
          <w:szCs w:val="24"/>
        </w:rPr>
        <w:t>World</w:t>
      </w:r>
      <w:r w:rsidRPr="00111A64">
        <w:rPr>
          <w:rFonts w:ascii="Arial" w:hAnsi="Arial" w:cs="Arial"/>
          <w:sz w:val="24"/>
          <w:szCs w:val="24"/>
        </w:rPr>
        <w:t>Granny</w:t>
      </w:r>
      <w:proofErr w:type="spellEnd"/>
      <w:r>
        <w:rPr>
          <w:rFonts w:ascii="Arial" w:hAnsi="Arial" w:cs="Arial"/>
          <w:sz w:val="24"/>
          <w:szCs w:val="24"/>
        </w:rPr>
        <w:t xml:space="preserve">; </w:t>
      </w:r>
      <w:proofErr w:type="spellStart"/>
      <w:r>
        <w:rPr>
          <w:rFonts w:ascii="Arial" w:hAnsi="Arial" w:cs="Arial"/>
          <w:sz w:val="24"/>
          <w:szCs w:val="24"/>
        </w:rPr>
        <w:t>learnings</w:t>
      </w:r>
      <w:proofErr w:type="spellEnd"/>
      <w:r>
        <w:rPr>
          <w:rFonts w:ascii="Arial" w:hAnsi="Arial" w:cs="Arial"/>
          <w:sz w:val="24"/>
          <w:szCs w:val="24"/>
        </w:rPr>
        <w:t xml:space="preserve"> and recommendations from this process will </w:t>
      </w:r>
      <w:r w:rsidRPr="00111A64">
        <w:rPr>
          <w:rFonts w:ascii="Arial" w:hAnsi="Arial" w:cs="Arial"/>
          <w:sz w:val="24"/>
          <w:szCs w:val="24"/>
        </w:rPr>
        <w:t>inform</w:t>
      </w:r>
      <w:r>
        <w:rPr>
          <w:rFonts w:ascii="Arial" w:hAnsi="Arial" w:cs="Arial"/>
          <w:sz w:val="24"/>
          <w:szCs w:val="24"/>
        </w:rPr>
        <w:t xml:space="preserve"> and shape</w:t>
      </w:r>
      <w:r w:rsidRPr="00111A64">
        <w:rPr>
          <w:rFonts w:ascii="Arial" w:hAnsi="Arial" w:cs="Arial"/>
          <w:sz w:val="24"/>
          <w:szCs w:val="24"/>
        </w:rPr>
        <w:t xml:space="preserve"> </w:t>
      </w:r>
      <w:r>
        <w:rPr>
          <w:rFonts w:ascii="Arial" w:hAnsi="Arial" w:cs="Arial"/>
          <w:sz w:val="24"/>
          <w:szCs w:val="24"/>
        </w:rPr>
        <w:t xml:space="preserve">other partnership agreements. </w:t>
      </w:r>
    </w:p>
    <w:p w:rsidR="0009423E" w:rsidRDefault="0009423E" w:rsidP="0009423E">
      <w:pPr>
        <w:spacing w:after="0" w:line="240" w:lineRule="auto"/>
        <w:rPr>
          <w:rFonts w:ascii="Arial" w:hAnsi="Arial" w:cs="Arial"/>
          <w:sz w:val="24"/>
          <w:szCs w:val="24"/>
        </w:rPr>
      </w:pPr>
    </w:p>
    <w:p w:rsidR="0009423E" w:rsidRDefault="0009423E" w:rsidP="0009423E">
      <w:pPr>
        <w:spacing w:after="0" w:line="240" w:lineRule="auto"/>
        <w:rPr>
          <w:rFonts w:ascii="Arial" w:hAnsi="Arial" w:cs="Arial"/>
          <w:sz w:val="24"/>
          <w:szCs w:val="24"/>
        </w:rPr>
      </w:pPr>
    </w:p>
    <w:p w:rsidR="0009423E" w:rsidRPr="00F10B12" w:rsidRDefault="0009423E" w:rsidP="0009423E">
      <w:pPr>
        <w:pStyle w:val="ListParagraph"/>
        <w:numPr>
          <w:ilvl w:val="0"/>
          <w:numId w:val="4"/>
        </w:numPr>
        <w:spacing w:after="0" w:line="240" w:lineRule="auto"/>
        <w:rPr>
          <w:rFonts w:ascii="Arial" w:hAnsi="Arial" w:cs="Arial"/>
          <w:b/>
          <w:sz w:val="24"/>
          <w:szCs w:val="24"/>
        </w:rPr>
      </w:pPr>
      <w:r w:rsidRPr="00F10B12">
        <w:rPr>
          <w:rFonts w:ascii="Arial" w:hAnsi="Arial" w:cs="Arial"/>
          <w:b/>
          <w:sz w:val="24"/>
          <w:szCs w:val="24"/>
        </w:rPr>
        <w:t xml:space="preserve">Objectives </w:t>
      </w:r>
    </w:p>
    <w:p w:rsidR="0009423E" w:rsidRDefault="0009423E" w:rsidP="0009423E">
      <w:pPr>
        <w:spacing w:after="0" w:line="240" w:lineRule="auto"/>
        <w:rPr>
          <w:rFonts w:ascii="Arial" w:hAnsi="Arial" w:cs="Arial"/>
          <w:sz w:val="24"/>
          <w:szCs w:val="24"/>
        </w:rPr>
      </w:pPr>
    </w:p>
    <w:p w:rsidR="0009423E" w:rsidRDefault="0009423E" w:rsidP="0009423E">
      <w:pPr>
        <w:spacing w:after="0" w:line="240" w:lineRule="auto"/>
        <w:rPr>
          <w:rFonts w:ascii="Arial" w:hAnsi="Arial" w:cs="Arial"/>
          <w:sz w:val="24"/>
          <w:szCs w:val="24"/>
        </w:rPr>
      </w:pPr>
      <w:r>
        <w:rPr>
          <w:rFonts w:ascii="Arial" w:hAnsi="Arial" w:cs="Arial"/>
          <w:sz w:val="24"/>
          <w:szCs w:val="24"/>
        </w:rPr>
        <w:t xml:space="preserve">Although a review of progress and achievements in other areas covered by the partnership agreements will form part of this evaluation, the primary purpose of this consultancy is to focus on the financial return on investment.  </w:t>
      </w:r>
    </w:p>
    <w:p w:rsidR="0009423E" w:rsidRDefault="0009423E" w:rsidP="0009423E">
      <w:pPr>
        <w:spacing w:after="0" w:line="240" w:lineRule="auto"/>
        <w:rPr>
          <w:rFonts w:ascii="Arial" w:hAnsi="Arial" w:cs="Arial"/>
          <w:sz w:val="24"/>
          <w:szCs w:val="24"/>
        </w:rPr>
      </w:pPr>
    </w:p>
    <w:p w:rsidR="0009423E" w:rsidRDefault="0009423E" w:rsidP="0009423E">
      <w:pPr>
        <w:spacing w:after="0" w:line="240" w:lineRule="auto"/>
        <w:rPr>
          <w:rFonts w:ascii="Arial" w:hAnsi="Arial" w:cs="Arial"/>
          <w:sz w:val="24"/>
          <w:szCs w:val="24"/>
        </w:rPr>
      </w:pPr>
      <w:r>
        <w:rPr>
          <w:rFonts w:ascii="Arial" w:hAnsi="Arial" w:cs="Arial"/>
          <w:sz w:val="24"/>
          <w:szCs w:val="24"/>
        </w:rPr>
        <w:t>The review will cover:</w:t>
      </w:r>
    </w:p>
    <w:p w:rsidR="0009423E" w:rsidRDefault="0009423E" w:rsidP="0009423E">
      <w:pPr>
        <w:spacing w:after="0" w:line="240" w:lineRule="auto"/>
        <w:rPr>
          <w:rFonts w:ascii="Arial" w:hAnsi="Arial" w:cs="Arial"/>
          <w:sz w:val="24"/>
          <w:szCs w:val="24"/>
        </w:rPr>
      </w:pPr>
    </w:p>
    <w:p w:rsidR="0009423E" w:rsidRDefault="0009423E" w:rsidP="0009423E">
      <w:pPr>
        <w:pStyle w:val="ListParagraph"/>
        <w:numPr>
          <w:ilvl w:val="0"/>
          <w:numId w:val="2"/>
        </w:numPr>
        <w:spacing w:after="0" w:line="240" w:lineRule="auto"/>
        <w:rPr>
          <w:rFonts w:ascii="Arial" w:hAnsi="Arial" w:cs="Arial"/>
          <w:sz w:val="24"/>
          <w:szCs w:val="24"/>
        </w:rPr>
      </w:pPr>
      <w:r>
        <w:rPr>
          <w:rFonts w:ascii="Arial" w:hAnsi="Arial" w:cs="Arial"/>
          <w:sz w:val="24"/>
          <w:szCs w:val="24"/>
        </w:rPr>
        <w:t>An assessment of key, non-financial (e.g. policy and public awareness) achievements and highlights during the lifetime of the formal partnerships.  This should include an assessment of their links to/added value with respect to fundraising.</w:t>
      </w:r>
    </w:p>
    <w:p w:rsidR="0009423E" w:rsidRDefault="0009423E" w:rsidP="0009423E">
      <w:pPr>
        <w:pStyle w:val="ListParagraph"/>
        <w:numPr>
          <w:ilvl w:val="0"/>
          <w:numId w:val="2"/>
        </w:numPr>
        <w:spacing w:after="0" w:line="240" w:lineRule="auto"/>
        <w:rPr>
          <w:rFonts w:ascii="Arial" w:hAnsi="Arial" w:cs="Arial"/>
          <w:sz w:val="24"/>
          <w:szCs w:val="24"/>
        </w:rPr>
      </w:pPr>
      <w:r w:rsidRPr="00D5565B">
        <w:rPr>
          <w:rFonts w:ascii="Arial" w:hAnsi="Arial" w:cs="Arial"/>
          <w:sz w:val="24"/>
          <w:szCs w:val="24"/>
        </w:rPr>
        <w:t>An analysis of the history, growth and development of each affiliate, noting the impact that HelpAge investment may have had on their evolution and sustainability</w:t>
      </w:r>
      <w:r>
        <w:rPr>
          <w:rFonts w:ascii="Arial" w:hAnsi="Arial" w:cs="Arial"/>
          <w:sz w:val="24"/>
          <w:szCs w:val="24"/>
        </w:rPr>
        <w:t>.</w:t>
      </w:r>
    </w:p>
    <w:p w:rsidR="0009423E" w:rsidRPr="00D5565B" w:rsidRDefault="0009423E" w:rsidP="0009423E">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Assessment of the </w:t>
      </w:r>
      <w:r w:rsidRPr="00D5565B">
        <w:rPr>
          <w:rFonts w:ascii="Arial" w:hAnsi="Arial" w:cs="Arial"/>
          <w:sz w:val="24"/>
          <w:szCs w:val="24"/>
        </w:rPr>
        <w:t>resources and capacity of affiliates to deliver objectives.</w:t>
      </w:r>
    </w:p>
    <w:p w:rsidR="0009423E" w:rsidRDefault="0009423E" w:rsidP="0009423E">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Comment on the funding environment and context the affiliates are operating in. </w:t>
      </w:r>
    </w:p>
    <w:p w:rsidR="0009423E" w:rsidRDefault="0009423E" w:rsidP="0009423E">
      <w:pPr>
        <w:pStyle w:val="ListParagraph"/>
        <w:numPr>
          <w:ilvl w:val="0"/>
          <w:numId w:val="2"/>
        </w:numPr>
        <w:spacing w:after="0" w:line="240" w:lineRule="auto"/>
        <w:rPr>
          <w:rFonts w:ascii="Arial" w:hAnsi="Arial" w:cs="Arial"/>
          <w:sz w:val="24"/>
          <w:szCs w:val="24"/>
        </w:rPr>
      </w:pPr>
      <w:r>
        <w:rPr>
          <w:rFonts w:ascii="Arial" w:hAnsi="Arial" w:cs="Arial"/>
          <w:sz w:val="24"/>
          <w:szCs w:val="24"/>
        </w:rPr>
        <w:t>Key challenges in meeting the objectives of the partnerships.</w:t>
      </w:r>
    </w:p>
    <w:p w:rsidR="0009423E" w:rsidRPr="00C821DE" w:rsidRDefault="0009423E" w:rsidP="0009423E">
      <w:pPr>
        <w:pStyle w:val="ListParagraph"/>
        <w:numPr>
          <w:ilvl w:val="0"/>
          <w:numId w:val="2"/>
        </w:numPr>
        <w:spacing w:after="0" w:line="240" w:lineRule="auto"/>
        <w:rPr>
          <w:rFonts w:ascii="Arial" w:hAnsi="Arial" w:cs="Arial"/>
          <w:sz w:val="24"/>
          <w:szCs w:val="24"/>
        </w:rPr>
      </w:pPr>
      <w:r>
        <w:rPr>
          <w:rFonts w:ascii="Arial" w:hAnsi="Arial" w:cs="Arial"/>
          <w:sz w:val="24"/>
          <w:szCs w:val="24"/>
        </w:rPr>
        <w:t>Financial return on HelpAge’s investment to both organisations.</w:t>
      </w:r>
    </w:p>
    <w:p w:rsidR="0009423E" w:rsidRDefault="0009423E" w:rsidP="0009423E">
      <w:pPr>
        <w:pStyle w:val="ListParagraph"/>
        <w:numPr>
          <w:ilvl w:val="0"/>
          <w:numId w:val="2"/>
        </w:numPr>
        <w:spacing w:after="0" w:line="240" w:lineRule="auto"/>
        <w:rPr>
          <w:rFonts w:ascii="Arial" w:hAnsi="Arial" w:cs="Arial"/>
          <w:sz w:val="24"/>
          <w:szCs w:val="24"/>
        </w:rPr>
      </w:pPr>
      <w:r>
        <w:rPr>
          <w:rFonts w:ascii="Arial" w:hAnsi="Arial" w:cs="Arial"/>
          <w:sz w:val="24"/>
          <w:szCs w:val="24"/>
        </w:rPr>
        <w:t>The pros and cons of the different investment models.</w:t>
      </w:r>
    </w:p>
    <w:p w:rsidR="0009423E" w:rsidRDefault="0009423E" w:rsidP="0009423E">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Comparative approaches used by other organisations to generate income. </w:t>
      </w:r>
    </w:p>
    <w:p w:rsidR="0009423E" w:rsidRDefault="0009423E" w:rsidP="0009423E">
      <w:pPr>
        <w:pStyle w:val="ListParagraph"/>
        <w:numPr>
          <w:ilvl w:val="0"/>
          <w:numId w:val="2"/>
        </w:numPr>
        <w:spacing w:after="0" w:line="240" w:lineRule="auto"/>
        <w:rPr>
          <w:rFonts w:ascii="Arial" w:hAnsi="Arial" w:cs="Arial"/>
          <w:sz w:val="24"/>
          <w:szCs w:val="24"/>
        </w:rPr>
      </w:pPr>
      <w:r>
        <w:rPr>
          <w:rFonts w:ascii="Arial" w:hAnsi="Arial" w:cs="Arial"/>
          <w:sz w:val="24"/>
          <w:szCs w:val="24"/>
        </w:rPr>
        <w:t>Examples of investment models used by other similar (affiliated/federated) NGOs.</w:t>
      </w:r>
    </w:p>
    <w:p w:rsidR="0009423E" w:rsidRPr="00F03D5C" w:rsidRDefault="0009423E" w:rsidP="0009423E">
      <w:pPr>
        <w:pStyle w:val="ListParagraph"/>
        <w:numPr>
          <w:ilvl w:val="0"/>
          <w:numId w:val="2"/>
        </w:numPr>
        <w:spacing w:after="0" w:line="240" w:lineRule="auto"/>
        <w:rPr>
          <w:rFonts w:ascii="Arial" w:hAnsi="Arial" w:cs="Arial"/>
          <w:sz w:val="24"/>
          <w:szCs w:val="24"/>
        </w:rPr>
      </w:pPr>
      <w:r>
        <w:rPr>
          <w:rFonts w:ascii="Arial" w:hAnsi="Arial" w:cs="Arial"/>
          <w:sz w:val="24"/>
          <w:szCs w:val="24"/>
        </w:rPr>
        <w:t>Recommendations on future, cost effective and affordable investment models, taking into account the use of/opportunity costs related to HelpAge’s unrestricted funds.</w:t>
      </w:r>
    </w:p>
    <w:p w:rsidR="0009423E" w:rsidRPr="007D0E59" w:rsidRDefault="0009423E" w:rsidP="0009423E">
      <w:pPr>
        <w:pStyle w:val="ListParagraph"/>
        <w:spacing w:after="0" w:line="240" w:lineRule="auto"/>
        <w:rPr>
          <w:rFonts w:ascii="Arial" w:hAnsi="Arial" w:cs="Arial"/>
          <w:sz w:val="24"/>
          <w:szCs w:val="24"/>
        </w:rPr>
      </w:pPr>
    </w:p>
    <w:p w:rsidR="0009423E" w:rsidRPr="00F10B12" w:rsidRDefault="0009423E" w:rsidP="0009423E">
      <w:pPr>
        <w:pStyle w:val="ListParagraph"/>
        <w:numPr>
          <w:ilvl w:val="0"/>
          <w:numId w:val="4"/>
        </w:numPr>
        <w:spacing w:after="0" w:line="240" w:lineRule="auto"/>
        <w:rPr>
          <w:rFonts w:ascii="Arial" w:hAnsi="Arial" w:cs="Arial"/>
          <w:b/>
          <w:sz w:val="24"/>
          <w:szCs w:val="24"/>
        </w:rPr>
      </w:pPr>
      <w:r w:rsidRPr="00F10B12">
        <w:rPr>
          <w:rFonts w:ascii="Arial" w:hAnsi="Arial" w:cs="Arial"/>
          <w:b/>
          <w:sz w:val="24"/>
          <w:szCs w:val="24"/>
        </w:rPr>
        <w:t>Process</w:t>
      </w:r>
    </w:p>
    <w:p w:rsidR="0009423E" w:rsidRDefault="0009423E" w:rsidP="0009423E">
      <w:pPr>
        <w:spacing w:after="0" w:line="240" w:lineRule="auto"/>
        <w:rPr>
          <w:rFonts w:ascii="Arial" w:hAnsi="Arial" w:cs="Arial"/>
          <w:sz w:val="24"/>
          <w:szCs w:val="24"/>
        </w:rPr>
      </w:pPr>
    </w:p>
    <w:p w:rsidR="0009423E" w:rsidRDefault="0009423E" w:rsidP="0009423E">
      <w:pPr>
        <w:spacing w:after="0" w:line="240" w:lineRule="auto"/>
        <w:rPr>
          <w:rFonts w:ascii="Arial" w:hAnsi="Arial" w:cs="Arial"/>
          <w:sz w:val="24"/>
          <w:szCs w:val="24"/>
        </w:rPr>
      </w:pPr>
      <w:r w:rsidRPr="00111A64">
        <w:rPr>
          <w:rFonts w:ascii="Arial" w:hAnsi="Arial" w:cs="Arial"/>
          <w:sz w:val="24"/>
          <w:szCs w:val="24"/>
        </w:rPr>
        <w:t xml:space="preserve">The process for fulfilling this consultancy </w:t>
      </w:r>
      <w:r>
        <w:rPr>
          <w:rFonts w:ascii="Arial" w:hAnsi="Arial" w:cs="Arial"/>
          <w:sz w:val="24"/>
          <w:szCs w:val="24"/>
        </w:rPr>
        <w:t>will</w:t>
      </w:r>
      <w:r w:rsidRPr="00111A64">
        <w:rPr>
          <w:rFonts w:ascii="Arial" w:hAnsi="Arial" w:cs="Arial"/>
          <w:sz w:val="24"/>
          <w:szCs w:val="24"/>
        </w:rPr>
        <w:t xml:space="preserve"> include:</w:t>
      </w:r>
    </w:p>
    <w:p w:rsidR="0009423E" w:rsidRPr="00111A64" w:rsidRDefault="0009423E" w:rsidP="0009423E">
      <w:pPr>
        <w:spacing w:after="0" w:line="240" w:lineRule="auto"/>
        <w:rPr>
          <w:rFonts w:ascii="Arial" w:hAnsi="Arial" w:cs="Arial"/>
          <w:sz w:val="24"/>
          <w:szCs w:val="24"/>
        </w:rPr>
      </w:pPr>
    </w:p>
    <w:p w:rsidR="0009423E" w:rsidRDefault="0009423E" w:rsidP="0009423E">
      <w:pPr>
        <w:pStyle w:val="ListParagraph"/>
        <w:numPr>
          <w:ilvl w:val="0"/>
          <w:numId w:val="1"/>
        </w:numPr>
        <w:spacing w:after="0" w:line="240" w:lineRule="auto"/>
        <w:rPr>
          <w:rFonts w:ascii="Arial" w:hAnsi="Arial" w:cs="Arial"/>
          <w:sz w:val="24"/>
          <w:szCs w:val="24"/>
        </w:rPr>
      </w:pPr>
      <w:r w:rsidRPr="00111A64">
        <w:rPr>
          <w:rFonts w:ascii="Arial" w:hAnsi="Arial" w:cs="Arial"/>
          <w:sz w:val="24"/>
          <w:szCs w:val="24"/>
        </w:rPr>
        <w:t xml:space="preserve">Review of all </w:t>
      </w:r>
      <w:r>
        <w:rPr>
          <w:rFonts w:ascii="Arial" w:hAnsi="Arial" w:cs="Arial"/>
          <w:sz w:val="24"/>
          <w:szCs w:val="24"/>
        </w:rPr>
        <w:t>p</w:t>
      </w:r>
      <w:r w:rsidRPr="00111A64">
        <w:rPr>
          <w:rFonts w:ascii="Arial" w:hAnsi="Arial" w:cs="Arial"/>
          <w:sz w:val="24"/>
          <w:szCs w:val="24"/>
        </w:rPr>
        <w:t xml:space="preserve">artnership </w:t>
      </w:r>
      <w:r>
        <w:rPr>
          <w:rFonts w:ascii="Arial" w:hAnsi="Arial" w:cs="Arial"/>
          <w:sz w:val="24"/>
          <w:szCs w:val="24"/>
        </w:rPr>
        <w:t>a</w:t>
      </w:r>
      <w:r w:rsidRPr="00111A64">
        <w:rPr>
          <w:rFonts w:ascii="Arial" w:hAnsi="Arial" w:cs="Arial"/>
          <w:sz w:val="24"/>
          <w:szCs w:val="24"/>
        </w:rPr>
        <w:t xml:space="preserve">greements, previous evaluations and other relevant documents. </w:t>
      </w:r>
    </w:p>
    <w:p w:rsidR="0009423E" w:rsidRDefault="0009423E" w:rsidP="0009423E">
      <w:pPr>
        <w:pStyle w:val="ListParagraph"/>
        <w:numPr>
          <w:ilvl w:val="0"/>
          <w:numId w:val="1"/>
        </w:numPr>
        <w:spacing w:after="0" w:line="240" w:lineRule="auto"/>
        <w:rPr>
          <w:rFonts w:ascii="Arial" w:hAnsi="Arial" w:cs="Arial"/>
          <w:sz w:val="24"/>
          <w:szCs w:val="24"/>
        </w:rPr>
      </w:pPr>
      <w:r w:rsidRPr="003D7D82">
        <w:rPr>
          <w:rFonts w:ascii="Arial" w:hAnsi="Arial" w:cs="Arial"/>
          <w:sz w:val="24"/>
          <w:szCs w:val="24"/>
        </w:rPr>
        <w:lastRenderedPageBreak/>
        <w:t>Review of relevant financial information</w:t>
      </w:r>
      <w:r>
        <w:rPr>
          <w:rFonts w:ascii="Arial" w:hAnsi="Arial" w:cs="Arial"/>
          <w:sz w:val="24"/>
          <w:szCs w:val="24"/>
        </w:rPr>
        <w:t>.</w:t>
      </w:r>
    </w:p>
    <w:p w:rsidR="0009423E" w:rsidRDefault="0009423E" w:rsidP="0009423E">
      <w:pPr>
        <w:pStyle w:val="ListParagraph"/>
        <w:numPr>
          <w:ilvl w:val="0"/>
          <w:numId w:val="1"/>
        </w:numPr>
        <w:spacing w:after="0" w:line="240" w:lineRule="auto"/>
        <w:rPr>
          <w:rFonts w:ascii="Arial" w:hAnsi="Arial" w:cs="Arial"/>
          <w:sz w:val="24"/>
          <w:szCs w:val="24"/>
        </w:rPr>
      </w:pPr>
      <w:r w:rsidRPr="00111A64">
        <w:rPr>
          <w:rFonts w:ascii="Arial" w:hAnsi="Arial" w:cs="Arial"/>
          <w:sz w:val="24"/>
          <w:szCs w:val="24"/>
        </w:rPr>
        <w:t>Interviews</w:t>
      </w:r>
      <w:r>
        <w:rPr>
          <w:rFonts w:ascii="Arial" w:hAnsi="Arial" w:cs="Arial"/>
          <w:sz w:val="24"/>
          <w:szCs w:val="24"/>
        </w:rPr>
        <w:t>/</w:t>
      </w:r>
      <w:r w:rsidRPr="00111A64">
        <w:rPr>
          <w:rFonts w:ascii="Arial" w:hAnsi="Arial" w:cs="Arial"/>
          <w:sz w:val="24"/>
          <w:szCs w:val="24"/>
        </w:rPr>
        <w:t xml:space="preserve">meetings with relevant staff in affiliate organisations and staff in relevant </w:t>
      </w:r>
      <w:r>
        <w:rPr>
          <w:rFonts w:ascii="Arial" w:hAnsi="Arial" w:cs="Arial"/>
          <w:sz w:val="24"/>
          <w:szCs w:val="24"/>
        </w:rPr>
        <w:t>HelpAge teams.</w:t>
      </w:r>
    </w:p>
    <w:p w:rsidR="0009423E" w:rsidRDefault="0009423E" w:rsidP="0009423E">
      <w:pPr>
        <w:pStyle w:val="ListParagraph"/>
        <w:numPr>
          <w:ilvl w:val="0"/>
          <w:numId w:val="1"/>
        </w:numPr>
        <w:spacing w:after="0" w:line="240" w:lineRule="auto"/>
        <w:rPr>
          <w:rFonts w:ascii="Arial" w:hAnsi="Arial" w:cs="Arial"/>
          <w:sz w:val="24"/>
          <w:szCs w:val="24"/>
        </w:rPr>
      </w:pPr>
      <w:r>
        <w:rPr>
          <w:rFonts w:ascii="Arial" w:hAnsi="Arial" w:cs="Arial"/>
          <w:sz w:val="24"/>
          <w:szCs w:val="24"/>
        </w:rPr>
        <w:t>Visit to one European affiliate.</w:t>
      </w:r>
    </w:p>
    <w:p w:rsidR="0009423E" w:rsidRPr="00111A64" w:rsidRDefault="0009423E" w:rsidP="0009423E">
      <w:pPr>
        <w:pStyle w:val="ListParagraph"/>
        <w:numPr>
          <w:ilvl w:val="0"/>
          <w:numId w:val="1"/>
        </w:numPr>
        <w:spacing w:after="0" w:line="240" w:lineRule="auto"/>
        <w:rPr>
          <w:rFonts w:ascii="Arial" w:hAnsi="Arial" w:cs="Arial"/>
          <w:sz w:val="24"/>
          <w:szCs w:val="24"/>
        </w:rPr>
      </w:pPr>
      <w:r>
        <w:rPr>
          <w:rFonts w:ascii="Arial" w:hAnsi="Arial" w:cs="Arial"/>
          <w:sz w:val="24"/>
          <w:szCs w:val="24"/>
        </w:rPr>
        <w:t>Interviews with other organisations that employ similar approaches to fundraising (e.g. through a federal structure, memberships, partnerships).</w:t>
      </w:r>
    </w:p>
    <w:p w:rsidR="0009423E" w:rsidRDefault="0009423E" w:rsidP="0009423E">
      <w:pPr>
        <w:pStyle w:val="ListParagraph"/>
        <w:numPr>
          <w:ilvl w:val="0"/>
          <w:numId w:val="1"/>
        </w:numPr>
        <w:spacing w:after="0" w:line="240" w:lineRule="auto"/>
        <w:rPr>
          <w:rFonts w:ascii="Arial" w:hAnsi="Arial" w:cs="Arial"/>
          <w:sz w:val="24"/>
          <w:szCs w:val="24"/>
        </w:rPr>
      </w:pPr>
      <w:r w:rsidRPr="003D7D82">
        <w:rPr>
          <w:rFonts w:ascii="Arial" w:hAnsi="Arial" w:cs="Arial"/>
          <w:sz w:val="24"/>
          <w:szCs w:val="24"/>
        </w:rPr>
        <w:t>Production of a report</w:t>
      </w:r>
      <w:r>
        <w:rPr>
          <w:rFonts w:ascii="Arial" w:hAnsi="Arial" w:cs="Arial"/>
          <w:sz w:val="24"/>
          <w:szCs w:val="24"/>
        </w:rPr>
        <w:t xml:space="preserve"> including executive summary</w:t>
      </w:r>
      <w:r w:rsidRPr="003D7D82">
        <w:rPr>
          <w:rFonts w:ascii="Arial" w:hAnsi="Arial" w:cs="Arial"/>
          <w:sz w:val="24"/>
          <w:szCs w:val="24"/>
        </w:rPr>
        <w:t xml:space="preserve"> (maximum</w:t>
      </w:r>
      <w:r>
        <w:rPr>
          <w:rFonts w:ascii="Arial" w:hAnsi="Arial" w:cs="Arial"/>
          <w:sz w:val="24"/>
          <w:szCs w:val="24"/>
        </w:rPr>
        <w:t xml:space="preserve"> </w:t>
      </w:r>
      <w:r w:rsidRPr="003D7D82">
        <w:rPr>
          <w:rFonts w:ascii="Arial" w:hAnsi="Arial" w:cs="Arial"/>
          <w:sz w:val="24"/>
          <w:szCs w:val="24"/>
        </w:rPr>
        <w:t>15</w:t>
      </w:r>
      <w:r>
        <w:rPr>
          <w:rFonts w:ascii="Arial" w:hAnsi="Arial" w:cs="Arial"/>
          <w:sz w:val="24"/>
          <w:szCs w:val="24"/>
        </w:rPr>
        <w:t xml:space="preserve"> </w:t>
      </w:r>
      <w:r w:rsidRPr="003D7D82">
        <w:rPr>
          <w:rFonts w:ascii="Arial" w:hAnsi="Arial" w:cs="Arial"/>
          <w:sz w:val="24"/>
          <w:szCs w:val="24"/>
        </w:rPr>
        <w:t>pages) with findings and clear recommendations that will info</w:t>
      </w:r>
      <w:r>
        <w:rPr>
          <w:rFonts w:ascii="Arial" w:hAnsi="Arial" w:cs="Arial"/>
          <w:sz w:val="24"/>
          <w:szCs w:val="24"/>
        </w:rPr>
        <w:t>rm future partnership arrangements (including presentation of draft report to and discussion with HelpAge Directors)</w:t>
      </w:r>
    </w:p>
    <w:p w:rsidR="0009423E" w:rsidRDefault="0009423E" w:rsidP="0009423E">
      <w:pPr>
        <w:pStyle w:val="ListParagraph"/>
        <w:spacing w:after="0" w:line="240" w:lineRule="auto"/>
        <w:rPr>
          <w:rFonts w:ascii="Arial" w:hAnsi="Arial" w:cs="Arial"/>
          <w:sz w:val="24"/>
          <w:szCs w:val="24"/>
        </w:rPr>
      </w:pPr>
    </w:p>
    <w:p w:rsidR="0009423E" w:rsidRPr="003D7D82" w:rsidRDefault="0009423E" w:rsidP="0009423E">
      <w:pPr>
        <w:pStyle w:val="ListParagraph"/>
        <w:spacing w:after="0" w:line="240" w:lineRule="auto"/>
        <w:rPr>
          <w:rFonts w:ascii="Arial" w:hAnsi="Arial" w:cs="Arial"/>
          <w:sz w:val="24"/>
          <w:szCs w:val="24"/>
        </w:rPr>
      </w:pPr>
    </w:p>
    <w:p w:rsidR="0009423E" w:rsidRPr="00F10B12" w:rsidRDefault="0009423E" w:rsidP="0009423E">
      <w:pPr>
        <w:pStyle w:val="ListParagraph"/>
        <w:numPr>
          <w:ilvl w:val="0"/>
          <w:numId w:val="4"/>
        </w:numPr>
        <w:spacing w:after="0" w:line="240" w:lineRule="auto"/>
        <w:rPr>
          <w:rFonts w:ascii="Arial" w:hAnsi="Arial" w:cs="Arial"/>
          <w:b/>
          <w:sz w:val="24"/>
          <w:szCs w:val="24"/>
        </w:rPr>
      </w:pPr>
      <w:r>
        <w:rPr>
          <w:rFonts w:ascii="Arial" w:hAnsi="Arial" w:cs="Arial"/>
          <w:b/>
          <w:sz w:val="24"/>
          <w:szCs w:val="24"/>
        </w:rPr>
        <w:t>Timescale</w:t>
      </w:r>
    </w:p>
    <w:p w:rsidR="0009423E" w:rsidRDefault="0009423E" w:rsidP="0009423E">
      <w:pPr>
        <w:pStyle w:val="ListParagraph"/>
        <w:spacing w:after="0" w:line="240" w:lineRule="auto"/>
        <w:ind w:left="0"/>
        <w:rPr>
          <w:rFonts w:ascii="Arial" w:hAnsi="Arial" w:cs="Arial"/>
          <w:sz w:val="24"/>
          <w:szCs w:val="24"/>
        </w:rPr>
      </w:pPr>
    </w:p>
    <w:p w:rsidR="0009423E" w:rsidRPr="00111A64" w:rsidRDefault="0009423E" w:rsidP="0009423E">
      <w:pPr>
        <w:pStyle w:val="ListParagraph"/>
        <w:numPr>
          <w:ilvl w:val="0"/>
          <w:numId w:val="5"/>
        </w:numPr>
        <w:spacing w:after="0" w:line="240" w:lineRule="auto"/>
        <w:rPr>
          <w:rFonts w:ascii="Arial" w:hAnsi="Arial" w:cs="Arial"/>
          <w:sz w:val="24"/>
          <w:szCs w:val="24"/>
        </w:rPr>
      </w:pPr>
      <w:r>
        <w:rPr>
          <w:rFonts w:ascii="Arial" w:hAnsi="Arial" w:cs="Arial"/>
          <w:sz w:val="24"/>
          <w:szCs w:val="24"/>
        </w:rPr>
        <w:t>12 days including report production.</w:t>
      </w:r>
    </w:p>
    <w:p w:rsidR="0009423E" w:rsidRDefault="0009423E" w:rsidP="0009423E">
      <w:pPr>
        <w:numPr>
          <w:ilvl w:val="0"/>
          <w:numId w:val="5"/>
        </w:numPr>
        <w:spacing w:after="0" w:line="240" w:lineRule="auto"/>
        <w:rPr>
          <w:rFonts w:ascii="Arial" w:hAnsi="Arial" w:cs="Arial"/>
          <w:sz w:val="24"/>
          <w:szCs w:val="24"/>
        </w:rPr>
      </w:pPr>
      <w:r>
        <w:rPr>
          <w:rFonts w:ascii="Arial" w:hAnsi="Arial" w:cs="Arial"/>
          <w:sz w:val="24"/>
          <w:szCs w:val="24"/>
        </w:rPr>
        <w:t xml:space="preserve">Draft report circulated and reviewed by </w:t>
      </w:r>
      <w:proofErr w:type="spellStart"/>
      <w:r>
        <w:rPr>
          <w:rFonts w:ascii="Arial" w:hAnsi="Arial" w:cs="Arial"/>
          <w:sz w:val="24"/>
          <w:szCs w:val="24"/>
        </w:rPr>
        <w:t>mid September</w:t>
      </w:r>
      <w:proofErr w:type="spellEnd"/>
      <w:r>
        <w:rPr>
          <w:rFonts w:ascii="Arial" w:hAnsi="Arial" w:cs="Arial"/>
          <w:sz w:val="24"/>
          <w:szCs w:val="24"/>
        </w:rPr>
        <w:t xml:space="preserve"> 2013. </w:t>
      </w:r>
    </w:p>
    <w:p w:rsidR="0009423E" w:rsidRDefault="0009423E" w:rsidP="0009423E">
      <w:pPr>
        <w:numPr>
          <w:ilvl w:val="0"/>
          <w:numId w:val="5"/>
        </w:numPr>
        <w:spacing w:after="0" w:line="240" w:lineRule="auto"/>
        <w:rPr>
          <w:rFonts w:ascii="Arial" w:hAnsi="Arial" w:cs="Arial"/>
          <w:sz w:val="24"/>
          <w:szCs w:val="24"/>
        </w:rPr>
      </w:pPr>
      <w:r>
        <w:rPr>
          <w:rFonts w:ascii="Arial" w:hAnsi="Arial" w:cs="Arial"/>
          <w:sz w:val="24"/>
          <w:szCs w:val="24"/>
        </w:rPr>
        <w:t>Report and consultancy finalised by 1</w:t>
      </w:r>
      <w:r w:rsidRPr="003D7D82">
        <w:rPr>
          <w:rFonts w:ascii="Arial" w:hAnsi="Arial" w:cs="Arial"/>
          <w:sz w:val="24"/>
          <w:szCs w:val="24"/>
          <w:vertAlign w:val="superscript"/>
        </w:rPr>
        <w:t>st</w:t>
      </w:r>
      <w:r>
        <w:rPr>
          <w:rFonts w:ascii="Arial" w:hAnsi="Arial" w:cs="Arial"/>
          <w:sz w:val="24"/>
          <w:szCs w:val="24"/>
        </w:rPr>
        <w:t xml:space="preserve"> October 2013. </w:t>
      </w:r>
    </w:p>
    <w:p w:rsidR="0009423E" w:rsidRDefault="0009423E" w:rsidP="0009423E">
      <w:pPr>
        <w:spacing w:after="0" w:line="240" w:lineRule="auto"/>
        <w:rPr>
          <w:rFonts w:ascii="Arial" w:hAnsi="Arial" w:cs="Arial"/>
          <w:sz w:val="24"/>
          <w:szCs w:val="24"/>
        </w:rPr>
      </w:pPr>
    </w:p>
    <w:p w:rsidR="0009423E" w:rsidRDefault="0009423E" w:rsidP="0009423E">
      <w:pPr>
        <w:spacing w:after="0" w:line="240" w:lineRule="auto"/>
        <w:rPr>
          <w:rFonts w:ascii="Arial" w:hAnsi="Arial" w:cs="Arial"/>
          <w:sz w:val="24"/>
          <w:szCs w:val="24"/>
        </w:rPr>
      </w:pPr>
    </w:p>
    <w:p w:rsidR="0009423E" w:rsidRPr="00F10B12" w:rsidRDefault="0009423E" w:rsidP="0009423E">
      <w:pPr>
        <w:numPr>
          <w:ilvl w:val="0"/>
          <w:numId w:val="4"/>
        </w:numPr>
        <w:spacing w:after="0" w:line="240" w:lineRule="auto"/>
        <w:rPr>
          <w:rFonts w:ascii="Arial" w:hAnsi="Arial" w:cs="Arial"/>
          <w:b/>
          <w:sz w:val="24"/>
          <w:szCs w:val="24"/>
        </w:rPr>
      </w:pPr>
      <w:r w:rsidRPr="00F10B12">
        <w:rPr>
          <w:rFonts w:ascii="Arial" w:hAnsi="Arial" w:cs="Arial"/>
          <w:b/>
          <w:sz w:val="24"/>
          <w:szCs w:val="24"/>
        </w:rPr>
        <w:t>Consult specification</w:t>
      </w:r>
    </w:p>
    <w:p w:rsidR="0009423E" w:rsidRDefault="0009423E" w:rsidP="0009423E">
      <w:pPr>
        <w:spacing w:after="0" w:line="240" w:lineRule="auto"/>
        <w:rPr>
          <w:rFonts w:ascii="Arial" w:hAnsi="Arial" w:cs="Arial"/>
          <w:sz w:val="24"/>
          <w:szCs w:val="24"/>
        </w:rPr>
      </w:pPr>
    </w:p>
    <w:p w:rsidR="0009423E" w:rsidRDefault="0009423E" w:rsidP="0009423E">
      <w:pPr>
        <w:spacing w:after="0" w:line="240" w:lineRule="auto"/>
        <w:rPr>
          <w:rFonts w:ascii="Arial" w:hAnsi="Arial" w:cs="Arial"/>
          <w:sz w:val="24"/>
          <w:szCs w:val="24"/>
        </w:rPr>
      </w:pPr>
      <w:r>
        <w:rPr>
          <w:rFonts w:ascii="Arial" w:hAnsi="Arial" w:cs="Arial"/>
          <w:sz w:val="24"/>
          <w:szCs w:val="24"/>
        </w:rPr>
        <w:t>The consultant will be expected to have:</w:t>
      </w:r>
    </w:p>
    <w:p w:rsidR="0009423E" w:rsidRDefault="0009423E" w:rsidP="0009423E">
      <w:pPr>
        <w:spacing w:after="0" w:line="240" w:lineRule="auto"/>
        <w:rPr>
          <w:rFonts w:ascii="Arial" w:hAnsi="Arial" w:cs="Arial"/>
          <w:sz w:val="24"/>
          <w:szCs w:val="24"/>
        </w:rPr>
      </w:pPr>
    </w:p>
    <w:p w:rsidR="0009423E" w:rsidRDefault="0009423E" w:rsidP="0009423E">
      <w:pPr>
        <w:numPr>
          <w:ilvl w:val="0"/>
          <w:numId w:val="3"/>
        </w:numPr>
        <w:spacing w:after="0" w:line="240" w:lineRule="auto"/>
        <w:rPr>
          <w:rFonts w:ascii="Arial" w:hAnsi="Arial" w:cs="Arial"/>
          <w:sz w:val="24"/>
          <w:szCs w:val="24"/>
        </w:rPr>
      </w:pPr>
      <w:r>
        <w:rPr>
          <w:rFonts w:ascii="Arial" w:hAnsi="Arial" w:cs="Arial"/>
          <w:sz w:val="24"/>
          <w:szCs w:val="24"/>
        </w:rPr>
        <w:t>Relevant experience of fundraising for international development.</w:t>
      </w:r>
    </w:p>
    <w:p w:rsidR="0009423E" w:rsidRDefault="0009423E" w:rsidP="0009423E">
      <w:pPr>
        <w:numPr>
          <w:ilvl w:val="0"/>
          <w:numId w:val="3"/>
        </w:numPr>
        <w:spacing w:after="0" w:line="240" w:lineRule="auto"/>
        <w:rPr>
          <w:rFonts w:ascii="Arial" w:hAnsi="Arial" w:cs="Arial"/>
          <w:sz w:val="24"/>
          <w:szCs w:val="24"/>
        </w:rPr>
      </w:pPr>
      <w:r>
        <w:rPr>
          <w:rFonts w:ascii="Arial" w:hAnsi="Arial" w:cs="Arial"/>
          <w:sz w:val="24"/>
          <w:szCs w:val="24"/>
        </w:rPr>
        <w:t>Experience of working with/capacity building of partner organisations.</w:t>
      </w:r>
    </w:p>
    <w:p w:rsidR="0009423E" w:rsidRDefault="0009423E" w:rsidP="0009423E">
      <w:pPr>
        <w:numPr>
          <w:ilvl w:val="0"/>
          <w:numId w:val="3"/>
        </w:numPr>
        <w:spacing w:after="0" w:line="240" w:lineRule="auto"/>
        <w:rPr>
          <w:rFonts w:ascii="Arial" w:hAnsi="Arial" w:cs="Arial"/>
          <w:sz w:val="24"/>
          <w:szCs w:val="24"/>
        </w:rPr>
      </w:pPr>
      <w:r>
        <w:rPr>
          <w:rFonts w:ascii="Arial" w:hAnsi="Arial" w:cs="Arial"/>
          <w:sz w:val="24"/>
          <w:szCs w:val="24"/>
        </w:rPr>
        <w:t>Knowledge of organisations that generate funds via an affiliated/federated structure.</w:t>
      </w:r>
    </w:p>
    <w:p w:rsidR="0009423E" w:rsidRDefault="0009423E" w:rsidP="0009423E">
      <w:pPr>
        <w:numPr>
          <w:ilvl w:val="0"/>
          <w:numId w:val="3"/>
        </w:numPr>
        <w:spacing w:after="0" w:line="240" w:lineRule="auto"/>
        <w:rPr>
          <w:rFonts w:ascii="Arial" w:hAnsi="Arial" w:cs="Arial"/>
          <w:sz w:val="24"/>
          <w:szCs w:val="24"/>
        </w:rPr>
      </w:pPr>
      <w:r>
        <w:rPr>
          <w:rFonts w:ascii="Arial" w:hAnsi="Arial" w:cs="Arial"/>
          <w:sz w:val="24"/>
          <w:szCs w:val="24"/>
        </w:rPr>
        <w:t>A broad understanding of value for money and cost effective approaches to resource mobilisation.</w:t>
      </w:r>
    </w:p>
    <w:p w:rsidR="0009423E" w:rsidRDefault="0009423E" w:rsidP="0009423E">
      <w:pPr>
        <w:spacing w:after="0" w:line="240" w:lineRule="auto"/>
        <w:ind w:left="360"/>
        <w:rPr>
          <w:rFonts w:ascii="Arial" w:hAnsi="Arial" w:cs="Arial"/>
          <w:sz w:val="24"/>
          <w:szCs w:val="24"/>
        </w:rPr>
      </w:pPr>
    </w:p>
    <w:p w:rsidR="00853698" w:rsidRDefault="00853698"/>
    <w:sectPr w:rsidR="00853698" w:rsidSect="00F03D5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603"/>
    <w:multiLevelType w:val="hybridMultilevel"/>
    <w:tmpl w:val="94E0F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48D7D6C"/>
    <w:multiLevelType w:val="hybridMultilevel"/>
    <w:tmpl w:val="1BE20A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34C18FF"/>
    <w:multiLevelType w:val="hybridMultilevel"/>
    <w:tmpl w:val="EEFA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4A4A4E"/>
    <w:multiLevelType w:val="hybridMultilevel"/>
    <w:tmpl w:val="B60A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302B37"/>
    <w:multiLevelType w:val="hybridMultilevel"/>
    <w:tmpl w:val="4CAE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23E"/>
    <w:rsid w:val="0009423E"/>
    <w:rsid w:val="0085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23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2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23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HelpAge International</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Hodgson</dc:creator>
  <cp:keywords/>
  <dc:description/>
  <cp:lastModifiedBy>Luke Hodgson</cp:lastModifiedBy>
  <cp:revision>1</cp:revision>
  <dcterms:created xsi:type="dcterms:W3CDTF">2013-07-31T08:18:00Z</dcterms:created>
  <dcterms:modified xsi:type="dcterms:W3CDTF">2013-07-31T08:19:00Z</dcterms:modified>
</cp:coreProperties>
</file>