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3E" w:rsidRDefault="0009423E" w:rsidP="0009423E">
      <w:pPr>
        <w:spacing w:after="0" w:line="240" w:lineRule="auto"/>
        <w:jc w:val="center"/>
        <w:rPr>
          <w:rFonts w:ascii="Arial" w:hAnsi="Arial" w:cs="Arial"/>
          <w:b/>
          <w:sz w:val="24"/>
          <w:szCs w:val="24"/>
        </w:rPr>
      </w:pPr>
    </w:p>
    <w:p w:rsidR="0009423E" w:rsidRDefault="0009423E" w:rsidP="0009423E">
      <w:pPr>
        <w:spacing w:after="0" w:line="240" w:lineRule="auto"/>
        <w:jc w:val="center"/>
        <w:rPr>
          <w:rFonts w:ascii="Arial" w:hAnsi="Arial" w:cs="Arial"/>
          <w:b/>
          <w:sz w:val="32"/>
          <w:szCs w:val="32"/>
        </w:rPr>
      </w:pPr>
    </w:p>
    <w:p w:rsidR="007724BE" w:rsidRPr="007724BE" w:rsidRDefault="007724BE" w:rsidP="007724BE">
      <w:pPr>
        <w:jc w:val="center"/>
        <w:rPr>
          <w:rFonts w:ascii="Arial" w:eastAsiaTheme="minorHAnsi" w:hAnsi="Arial" w:cs="Arial"/>
          <w:b/>
          <w:sz w:val="24"/>
          <w:szCs w:val="24"/>
        </w:rPr>
      </w:pPr>
    </w:p>
    <w:p w:rsidR="007724BE" w:rsidRPr="007724BE" w:rsidRDefault="007724BE" w:rsidP="007724BE">
      <w:pPr>
        <w:jc w:val="center"/>
        <w:rPr>
          <w:rFonts w:ascii="Arial" w:eastAsiaTheme="minorHAnsi" w:hAnsi="Arial" w:cs="Arial"/>
          <w:b/>
          <w:sz w:val="24"/>
          <w:szCs w:val="24"/>
        </w:rPr>
      </w:pPr>
      <w:r w:rsidRPr="007724BE">
        <w:rPr>
          <w:rFonts w:ascii="Arial" w:eastAsiaTheme="minorHAnsi" w:hAnsi="Arial" w:cs="Arial"/>
          <w:b/>
          <w:sz w:val="24"/>
          <w:szCs w:val="24"/>
        </w:rPr>
        <w:t xml:space="preserve">Terms of Reference - </w:t>
      </w:r>
      <w:r w:rsidR="00C9070C">
        <w:rPr>
          <w:rFonts w:ascii="Arial" w:eastAsiaTheme="minorHAnsi" w:hAnsi="Arial" w:cs="Arial"/>
          <w:b/>
          <w:sz w:val="24"/>
          <w:szCs w:val="24"/>
        </w:rPr>
        <w:t>July</w:t>
      </w:r>
      <w:bookmarkStart w:id="0" w:name="_GoBack"/>
      <w:bookmarkEnd w:id="0"/>
      <w:r w:rsidRPr="007724BE">
        <w:rPr>
          <w:rFonts w:ascii="Arial" w:eastAsiaTheme="minorHAnsi" w:hAnsi="Arial" w:cs="Arial"/>
          <w:b/>
          <w:sz w:val="24"/>
          <w:szCs w:val="24"/>
        </w:rPr>
        <w:t xml:space="preserve"> 2013</w:t>
      </w:r>
    </w:p>
    <w:p w:rsidR="007724BE" w:rsidRPr="007724BE" w:rsidRDefault="007724BE" w:rsidP="007724BE">
      <w:pPr>
        <w:jc w:val="center"/>
        <w:rPr>
          <w:rFonts w:ascii="Arial" w:eastAsiaTheme="minorHAnsi" w:hAnsi="Arial" w:cs="Arial"/>
          <w:b/>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Consultancy to assess the opportunities and potential related to government tendering</w:t>
      </w:r>
    </w:p>
    <w:p w:rsidR="007724BE" w:rsidRPr="007724BE" w:rsidRDefault="007724BE" w:rsidP="007724BE">
      <w:pPr>
        <w:rPr>
          <w:rFonts w:ascii="Arial" w:eastAsiaTheme="minorHAnsi" w:hAnsi="Arial" w:cs="Arial"/>
          <w:b/>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Summary</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 xml:space="preserve">This exercise is intended to inform HelpAge and </w:t>
      </w:r>
      <w:proofErr w:type="spellStart"/>
      <w:r w:rsidRPr="007724BE">
        <w:rPr>
          <w:rFonts w:ascii="Arial" w:eastAsiaTheme="minorHAnsi" w:hAnsi="Arial" w:cs="Arial"/>
          <w:sz w:val="24"/>
          <w:szCs w:val="24"/>
        </w:rPr>
        <w:t>Sightsavers</w:t>
      </w:r>
      <w:proofErr w:type="spellEnd"/>
      <w:r w:rsidRPr="007724BE">
        <w:rPr>
          <w:rFonts w:ascii="Arial" w:eastAsiaTheme="minorHAnsi" w:hAnsi="Arial" w:cs="Arial"/>
          <w:sz w:val="24"/>
          <w:szCs w:val="24"/>
        </w:rPr>
        <w:t xml:space="preserve"> of the potential for government (bilateral and multilateral) tendering to be a complementary income source for meeting their strategic objectives.  </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Findings and recommendations will inform future investment decisions.</w:t>
      </w:r>
    </w:p>
    <w:p w:rsidR="007724BE" w:rsidRPr="007724BE" w:rsidRDefault="007724BE" w:rsidP="007724BE">
      <w:pPr>
        <w:rPr>
          <w:rFonts w:ascii="Arial" w:eastAsiaTheme="minorHAnsi" w:hAnsi="Arial" w:cs="Arial"/>
          <w:b/>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Background</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 xml:space="preserve">The traditional income streams for HelpAge and </w:t>
      </w:r>
      <w:proofErr w:type="spellStart"/>
      <w:r w:rsidRPr="007724BE">
        <w:rPr>
          <w:rFonts w:ascii="Arial" w:eastAsiaTheme="minorHAnsi" w:hAnsi="Arial" w:cs="Arial"/>
          <w:sz w:val="24"/>
          <w:szCs w:val="24"/>
        </w:rPr>
        <w:t>Sightsavers</w:t>
      </w:r>
      <w:proofErr w:type="spellEnd"/>
      <w:r w:rsidRPr="007724BE">
        <w:rPr>
          <w:rFonts w:ascii="Arial" w:eastAsiaTheme="minorHAnsi" w:hAnsi="Arial" w:cs="Arial"/>
          <w:sz w:val="24"/>
          <w:szCs w:val="24"/>
        </w:rPr>
        <w:t xml:space="preserve"> are quite different.  The former has grown quite a significant base of ‘institutional’ donors and has operated in a relatively competitive environment, reacting to calls for proposals and proactively developing donor relationships that ultimately turn in to funding relationships.  </w:t>
      </w:r>
      <w:proofErr w:type="spellStart"/>
      <w:r w:rsidRPr="007724BE">
        <w:rPr>
          <w:rFonts w:ascii="Arial" w:eastAsiaTheme="minorHAnsi" w:hAnsi="Arial" w:cs="Arial"/>
          <w:sz w:val="24"/>
          <w:szCs w:val="24"/>
        </w:rPr>
        <w:t>Sightsavers</w:t>
      </w:r>
      <w:proofErr w:type="spellEnd"/>
      <w:r w:rsidRPr="007724BE">
        <w:rPr>
          <w:rFonts w:ascii="Arial" w:eastAsiaTheme="minorHAnsi" w:hAnsi="Arial" w:cs="Arial"/>
          <w:sz w:val="24"/>
          <w:szCs w:val="24"/>
        </w:rPr>
        <w:t>, on the other hand, has built up a significant base of individual (public) and corporate supporters and, in recent years, has placed more emphasis on growing its institutional funding base.</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 xml:space="preserve">Both organisations recognise the need to adapt to a rapidly changing funding environment.  HelpAge, for example, has made a strategic decision to continue to implement programmes of work in middle income countries and, therefore, feels vulnerable to the shift in donors’ attention to low income and fragile states.  </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 xml:space="preserve">Likewise, </w:t>
      </w:r>
      <w:proofErr w:type="spellStart"/>
      <w:r w:rsidRPr="007724BE">
        <w:rPr>
          <w:rFonts w:ascii="Arial" w:eastAsiaTheme="minorHAnsi" w:hAnsi="Arial" w:cs="Arial"/>
          <w:sz w:val="24"/>
          <w:szCs w:val="24"/>
        </w:rPr>
        <w:t>Sightsavers</w:t>
      </w:r>
      <w:proofErr w:type="spellEnd"/>
      <w:r w:rsidRPr="007724BE">
        <w:rPr>
          <w:rFonts w:ascii="Arial" w:eastAsiaTheme="minorHAnsi" w:hAnsi="Arial" w:cs="Arial"/>
          <w:sz w:val="24"/>
          <w:szCs w:val="24"/>
        </w:rPr>
        <w:t xml:space="preserve"> sees opportunities to grow and diversify its funding base of institutional donors and  attract more diverse funding for areas of work, e.g. in the field of neglected tropical diseases, from donors other than those that make up their traditional funding base.</w:t>
      </w:r>
    </w:p>
    <w:p w:rsidR="007724BE" w:rsidRPr="007724BE" w:rsidRDefault="007724BE" w:rsidP="007724BE">
      <w:pPr>
        <w:rPr>
          <w:rFonts w:ascii="Arial" w:eastAsiaTheme="minorHAnsi" w:hAnsi="Arial" w:cs="Arial"/>
          <w:sz w:val="24"/>
          <w:szCs w:val="24"/>
        </w:rPr>
      </w:pPr>
    </w:p>
    <w:p w:rsidR="007724BE" w:rsidRPr="007724BE" w:rsidRDefault="007724BE" w:rsidP="007724BE">
      <w:pPr>
        <w:rPr>
          <w:rFonts w:ascii="Arial" w:eastAsiaTheme="minorHAnsi" w:hAnsi="Arial" w:cs="Arial"/>
          <w:sz w:val="24"/>
          <w:szCs w:val="24"/>
        </w:rPr>
      </w:pPr>
    </w:p>
    <w:p w:rsidR="007724BE" w:rsidRPr="007724BE" w:rsidRDefault="007724BE" w:rsidP="007724BE">
      <w:pPr>
        <w:rPr>
          <w:rFonts w:ascii="Arial" w:eastAsiaTheme="minorHAnsi" w:hAnsi="Arial" w:cs="Arial"/>
          <w:sz w:val="24"/>
          <w:szCs w:val="24"/>
        </w:rPr>
      </w:pP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Tendering (i.e. responding to opportunities to bid for work against donor-defined TOR, as opposed to grant funding) has been identified by both organisations as a potential new income stream, but one that would require both different ways of working and different skills and expertise.</w:t>
      </w:r>
    </w:p>
    <w:p w:rsidR="007724BE" w:rsidRPr="007724BE" w:rsidRDefault="007724BE" w:rsidP="007724BE">
      <w:pPr>
        <w:rPr>
          <w:rFonts w:ascii="Arial" w:eastAsiaTheme="minorHAnsi" w:hAnsi="Arial" w:cs="Arial"/>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Experience to date</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 xml:space="preserve">HelpAge has responded to a limited number of calls for proposals, e.g. for work in Kenya as part of a DFID funded programme (HSNP), in Myanmar in response to a World Bank call and in Laos, as a partner of Maxwell Stamp. </w:t>
      </w:r>
      <w:proofErr w:type="spellStart"/>
      <w:r w:rsidRPr="007724BE">
        <w:rPr>
          <w:rFonts w:ascii="Arial" w:eastAsiaTheme="minorHAnsi" w:hAnsi="Arial" w:cs="Arial"/>
          <w:sz w:val="24"/>
          <w:szCs w:val="24"/>
        </w:rPr>
        <w:t>Sightsavers</w:t>
      </w:r>
      <w:proofErr w:type="spellEnd"/>
      <w:r w:rsidRPr="007724BE">
        <w:rPr>
          <w:rFonts w:ascii="Arial" w:eastAsiaTheme="minorHAnsi" w:hAnsi="Arial" w:cs="Arial"/>
          <w:sz w:val="24"/>
          <w:szCs w:val="24"/>
        </w:rPr>
        <w:t xml:space="preserve"> on the other hand has recently had a success with its first tendering contract.</w:t>
      </w:r>
    </w:p>
    <w:p w:rsidR="007724BE" w:rsidRPr="007724BE" w:rsidRDefault="007724BE" w:rsidP="007724BE">
      <w:pPr>
        <w:rPr>
          <w:rFonts w:ascii="Arial" w:eastAsiaTheme="minorHAnsi" w:hAnsi="Arial" w:cs="Arial"/>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Terms of reference for the consultancy</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inform how other similar organisations are moving in to the tendering sector and their primary motivations</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understand how governments see the future role of NGOs in responding to and delivering programmes under tendering conditions</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assess the potential niche for both organisations and where the potential opportunities are</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assess the potential of tendering as an alternative and manageable funding source, particularly for work in middle income countries</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recommend intervention mechanisms for entry in to the tendering market</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advise on how internal skills, systems, processes and working practices would need to be adapted to respond to and manage government contracts</w:t>
      </w:r>
    </w:p>
    <w:p w:rsidR="007724BE" w:rsidRPr="007724BE" w:rsidRDefault="007724BE" w:rsidP="007724BE">
      <w:pPr>
        <w:numPr>
          <w:ilvl w:val="0"/>
          <w:numId w:val="6"/>
        </w:numPr>
        <w:contextualSpacing/>
        <w:rPr>
          <w:rFonts w:ascii="Arial" w:eastAsiaTheme="minorHAnsi" w:hAnsi="Arial" w:cs="Arial"/>
          <w:sz w:val="24"/>
          <w:szCs w:val="24"/>
        </w:rPr>
      </w:pPr>
      <w:r w:rsidRPr="007724BE">
        <w:rPr>
          <w:rFonts w:ascii="Arial" w:eastAsiaTheme="minorHAnsi" w:hAnsi="Arial" w:cs="Arial"/>
          <w:sz w:val="24"/>
          <w:szCs w:val="24"/>
        </w:rPr>
        <w:t>To recommend the type and level of investment needed to enable both organisations to be better able to respond to and manage tendering opportunities, including potential financial return on investment</w:t>
      </w:r>
    </w:p>
    <w:p w:rsidR="007724BE" w:rsidRPr="007724BE" w:rsidRDefault="007724BE" w:rsidP="007724BE">
      <w:pPr>
        <w:rPr>
          <w:rFonts w:ascii="Arial" w:eastAsiaTheme="minorHAnsi" w:hAnsi="Arial" w:cs="Arial"/>
          <w:b/>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br w:type="page"/>
      </w: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lastRenderedPageBreak/>
        <w:t>Scope and methodology</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The assignment will focus primarily on the tendering practices and opportunities via a range of potential sources, e.g. DFID, EC, World Bank, USAID and possibly other European and non-European governments (the latter to assess potential to respond to opportunities as a UK NGO).  These will be agreed with the consultant prior to commencement of the assignment.</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It is expected that the consultant will need to undertake:</w:t>
      </w:r>
    </w:p>
    <w:p w:rsidR="007724BE" w:rsidRPr="007724BE" w:rsidRDefault="007724BE" w:rsidP="007724BE">
      <w:pPr>
        <w:numPr>
          <w:ilvl w:val="0"/>
          <w:numId w:val="8"/>
        </w:numPr>
        <w:contextualSpacing/>
        <w:rPr>
          <w:rFonts w:ascii="Arial" w:eastAsiaTheme="minorHAnsi" w:hAnsi="Arial" w:cs="Arial"/>
          <w:sz w:val="24"/>
          <w:szCs w:val="24"/>
        </w:rPr>
      </w:pPr>
      <w:r w:rsidRPr="007724BE">
        <w:rPr>
          <w:rFonts w:ascii="Arial" w:eastAsiaTheme="minorHAnsi" w:hAnsi="Arial" w:cs="Arial"/>
          <w:sz w:val="24"/>
          <w:szCs w:val="24"/>
        </w:rPr>
        <w:t>interviews with a range of INGOs and niche consultancy groups already involved in the tendering business</w:t>
      </w:r>
    </w:p>
    <w:p w:rsidR="007724BE" w:rsidRPr="007724BE" w:rsidRDefault="007724BE" w:rsidP="007724BE">
      <w:pPr>
        <w:numPr>
          <w:ilvl w:val="0"/>
          <w:numId w:val="8"/>
        </w:numPr>
        <w:contextualSpacing/>
        <w:rPr>
          <w:rFonts w:ascii="Arial" w:eastAsiaTheme="minorHAnsi" w:hAnsi="Arial" w:cs="Arial"/>
          <w:sz w:val="24"/>
          <w:szCs w:val="24"/>
        </w:rPr>
      </w:pPr>
      <w:r w:rsidRPr="007724BE">
        <w:rPr>
          <w:rFonts w:ascii="Arial" w:eastAsiaTheme="minorHAnsi" w:hAnsi="Arial" w:cs="Arial"/>
          <w:sz w:val="24"/>
          <w:szCs w:val="24"/>
        </w:rPr>
        <w:t>Interviews with a selection of government donors</w:t>
      </w:r>
    </w:p>
    <w:p w:rsidR="007724BE" w:rsidRPr="007724BE" w:rsidRDefault="007724BE" w:rsidP="007724BE">
      <w:pPr>
        <w:numPr>
          <w:ilvl w:val="0"/>
          <w:numId w:val="8"/>
        </w:numPr>
        <w:contextualSpacing/>
        <w:rPr>
          <w:rFonts w:ascii="Arial" w:eastAsiaTheme="minorHAnsi" w:hAnsi="Arial" w:cs="Arial"/>
          <w:sz w:val="24"/>
          <w:szCs w:val="24"/>
        </w:rPr>
      </w:pPr>
      <w:r w:rsidRPr="007724BE">
        <w:rPr>
          <w:rFonts w:ascii="Arial" w:eastAsiaTheme="minorHAnsi" w:hAnsi="Arial" w:cs="Arial"/>
          <w:sz w:val="24"/>
          <w:szCs w:val="24"/>
        </w:rPr>
        <w:t xml:space="preserve">Interviews with private sector companies, e.g. PWC, KPMG, Crown Agents </w:t>
      </w:r>
    </w:p>
    <w:p w:rsidR="007724BE" w:rsidRPr="007724BE" w:rsidRDefault="007724BE" w:rsidP="007724BE">
      <w:pPr>
        <w:numPr>
          <w:ilvl w:val="0"/>
          <w:numId w:val="8"/>
        </w:numPr>
        <w:contextualSpacing/>
        <w:rPr>
          <w:rFonts w:ascii="Arial" w:eastAsiaTheme="minorHAnsi" w:hAnsi="Arial" w:cs="Arial"/>
          <w:sz w:val="24"/>
          <w:szCs w:val="24"/>
        </w:rPr>
      </w:pPr>
      <w:r w:rsidRPr="007724BE">
        <w:rPr>
          <w:rFonts w:ascii="Arial" w:eastAsiaTheme="minorHAnsi" w:hAnsi="Arial" w:cs="Arial"/>
          <w:sz w:val="24"/>
          <w:szCs w:val="24"/>
        </w:rPr>
        <w:t>Discussions with relevant London and international office staff</w:t>
      </w:r>
    </w:p>
    <w:p w:rsidR="007724BE" w:rsidRPr="007724BE" w:rsidRDefault="007724BE" w:rsidP="007724BE">
      <w:pPr>
        <w:numPr>
          <w:ilvl w:val="0"/>
          <w:numId w:val="8"/>
        </w:numPr>
        <w:contextualSpacing/>
        <w:rPr>
          <w:rFonts w:ascii="Arial" w:eastAsiaTheme="minorHAnsi" w:hAnsi="Arial" w:cs="Arial"/>
          <w:sz w:val="24"/>
          <w:szCs w:val="24"/>
        </w:rPr>
      </w:pPr>
      <w:r w:rsidRPr="007724BE">
        <w:rPr>
          <w:rFonts w:ascii="Arial" w:eastAsiaTheme="minorHAnsi" w:hAnsi="Arial" w:cs="Arial"/>
          <w:sz w:val="24"/>
          <w:szCs w:val="24"/>
        </w:rPr>
        <w:t>Internal skills and competencies audit</w:t>
      </w:r>
    </w:p>
    <w:p w:rsidR="007724BE" w:rsidRPr="007724BE" w:rsidRDefault="007724BE" w:rsidP="007724BE">
      <w:pPr>
        <w:numPr>
          <w:ilvl w:val="0"/>
          <w:numId w:val="8"/>
        </w:numPr>
        <w:contextualSpacing/>
        <w:rPr>
          <w:rFonts w:ascii="Arial" w:eastAsiaTheme="minorHAnsi" w:hAnsi="Arial" w:cs="Arial"/>
          <w:sz w:val="24"/>
          <w:szCs w:val="24"/>
        </w:rPr>
      </w:pPr>
      <w:r w:rsidRPr="007724BE">
        <w:rPr>
          <w:rFonts w:ascii="Arial" w:eastAsiaTheme="minorHAnsi" w:hAnsi="Arial" w:cs="Arial"/>
          <w:sz w:val="24"/>
          <w:szCs w:val="24"/>
        </w:rPr>
        <w:t>Internal discussion on implications of securing and managing tenders on existing organisational business/operational models</w:t>
      </w:r>
    </w:p>
    <w:p w:rsidR="007724BE" w:rsidRPr="007724BE" w:rsidRDefault="007724BE" w:rsidP="007724BE">
      <w:pPr>
        <w:rPr>
          <w:rFonts w:ascii="Arial" w:eastAsiaTheme="minorHAnsi" w:hAnsi="Arial" w:cs="Arial"/>
          <w:b/>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Output</w:t>
      </w:r>
    </w:p>
    <w:p w:rsidR="007724BE" w:rsidRPr="007724BE" w:rsidRDefault="007724BE" w:rsidP="007724BE">
      <w:pPr>
        <w:numPr>
          <w:ilvl w:val="0"/>
          <w:numId w:val="7"/>
        </w:numPr>
        <w:contextualSpacing/>
        <w:rPr>
          <w:rFonts w:ascii="Arial" w:eastAsiaTheme="minorHAnsi" w:hAnsi="Arial" w:cs="Arial"/>
          <w:sz w:val="24"/>
          <w:szCs w:val="24"/>
        </w:rPr>
      </w:pPr>
      <w:r w:rsidRPr="007724BE">
        <w:rPr>
          <w:rFonts w:ascii="Arial" w:eastAsiaTheme="minorHAnsi" w:hAnsi="Arial" w:cs="Arial"/>
          <w:sz w:val="24"/>
          <w:szCs w:val="24"/>
        </w:rPr>
        <w:t>Narrative report with Executive Summary and specific focus on recommendations related to the way forward and associated implications (maximum ten pages with appendices)</w:t>
      </w:r>
    </w:p>
    <w:p w:rsidR="007724BE" w:rsidRPr="007724BE" w:rsidRDefault="007724BE" w:rsidP="007724BE">
      <w:pPr>
        <w:rPr>
          <w:rFonts w:ascii="Arial" w:eastAsiaTheme="minorHAnsi" w:hAnsi="Arial" w:cs="Arial"/>
          <w:b/>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Timing</w:t>
      </w:r>
    </w:p>
    <w:p w:rsidR="007724BE" w:rsidRPr="007724BE" w:rsidRDefault="007724BE" w:rsidP="007724BE">
      <w:pPr>
        <w:rPr>
          <w:rFonts w:ascii="Arial" w:eastAsiaTheme="minorHAnsi" w:hAnsi="Arial" w:cs="Arial"/>
          <w:sz w:val="24"/>
          <w:szCs w:val="24"/>
        </w:rPr>
      </w:pPr>
      <w:r w:rsidRPr="007724BE">
        <w:rPr>
          <w:rFonts w:ascii="Arial" w:eastAsiaTheme="minorHAnsi" w:hAnsi="Arial" w:cs="Arial"/>
          <w:sz w:val="24"/>
          <w:szCs w:val="24"/>
        </w:rPr>
        <w:t>10 days.</w:t>
      </w:r>
    </w:p>
    <w:p w:rsidR="007724BE" w:rsidRDefault="007724BE" w:rsidP="007724BE">
      <w:pPr>
        <w:rPr>
          <w:rFonts w:ascii="Arial" w:eastAsiaTheme="minorHAnsi" w:hAnsi="Arial" w:cs="Arial"/>
          <w:sz w:val="24"/>
          <w:szCs w:val="24"/>
        </w:rPr>
      </w:pPr>
      <w:proofErr w:type="gramStart"/>
      <w:r w:rsidRPr="007724BE">
        <w:rPr>
          <w:rFonts w:ascii="Arial" w:eastAsiaTheme="minorHAnsi" w:hAnsi="Arial" w:cs="Arial"/>
          <w:sz w:val="24"/>
          <w:szCs w:val="24"/>
        </w:rPr>
        <w:t>ASAP.</w:t>
      </w:r>
      <w:proofErr w:type="gramEnd"/>
    </w:p>
    <w:p w:rsidR="007724BE" w:rsidRPr="007724BE" w:rsidRDefault="007724BE" w:rsidP="007724BE">
      <w:pPr>
        <w:rPr>
          <w:rFonts w:ascii="Arial" w:eastAsiaTheme="minorHAnsi" w:hAnsi="Arial" w:cs="Arial"/>
          <w:sz w:val="24"/>
          <w:szCs w:val="24"/>
        </w:rPr>
      </w:pPr>
    </w:p>
    <w:p w:rsidR="007724BE" w:rsidRPr="007724BE" w:rsidRDefault="007724BE" w:rsidP="007724BE">
      <w:pPr>
        <w:rPr>
          <w:rFonts w:ascii="Arial" w:eastAsiaTheme="minorHAnsi" w:hAnsi="Arial" w:cs="Arial"/>
          <w:b/>
          <w:sz w:val="24"/>
          <w:szCs w:val="24"/>
        </w:rPr>
      </w:pPr>
      <w:r w:rsidRPr="007724BE">
        <w:rPr>
          <w:rFonts w:ascii="Arial" w:eastAsiaTheme="minorHAnsi" w:hAnsi="Arial" w:cs="Arial"/>
          <w:b/>
          <w:sz w:val="24"/>
          <w:szCs w:val="24"/>
        </w:rPr>
        <w:t>Consultant specification</w:t>
      </w:r>
    </w:p>
    <w:p w:rsidR="007724BE" w:rsidRPr="007724BE" w:rsidRDefault="007724BE" w:rsidP="007724BE">
      <w:pPr>
        <w:numPr>
          <w:ilvl w:val="0"/>
          <w:numId w:val="7"/>
        </w:numPr>
        <w:contextualSpacing/>
        <w:rPr>
          <w:rFonts w:ascii="Arial" w:eastAsiaTheme="minorHAnsi" w:hAnsi="Arial" w:cs="Arial"/>
          <w:b/>
          <w:sz w:val="24"/>
          <w:szCs w:val="24"/>
        </w:rPr>
      </w:pPr>
      <w:r w:rsidRPr="007724BE">
        <w:rPr>
          <w:rFonts w:ascii="Arial" w:eastAsiaTheme="minorHAnsi" w:hAnsi="Arial" w:cs="Arial"/>
          <w:sz w:val="24"/>
          <w:szCs w:val="24"/>
        </w:rPr>
        <w:t>Direct knowledge and practical experience of government tendering</w:t>
      </w:r>
    </w:p>
    <w:p w:rsidR="007724BE" w:rsidRPr="007724BE" w:rsidRDefault="007724BE" w:rsidP="007724BE">
      <w:pPr>
        <w:numPr>
          <w:ilvl w:val="0"/>
          <w:numId w:val="7"/>
        </w:numPr>
        <w:contextualSpacing/>
        <w:rPr>
          <w:rFonts w:ascii="Arial" w:eastAsiaTheme="minorHAnsi" w:hAnsi="Arial" w:cs="Arial"/>
          <w:b/>
          <w:sz w:val="24"/>
          <w:szCs w:val="24"/>
        </w:rPr>
      </w:pPr>
      <w:r w:rsidRPr="007724BE">
        <w:rPr>
          <w:rFonts w:ascii="Arial" w:eastAsiaTheme="minorHAnsi" w:hAnsi="Arial" w:cs="Arial"/>
          <w:sz w:val="24"/>
          <w:szCs w:val="24"/>
        </w:rPr>
        <w:t>Direct knowledge and practical experience of tendering for international development programmes</w:t>
      </w:r>
    </w:p>
    <w:p w:rsidR="007724BE" w:rsidRPr="007724BE" w:rsidRDefault="007724BE" w:rsidP="007724BE">
      <w:pPr>
        <w:numPr>
          <w:ilvl w:val="0"/>
          <w:numId w:val="7"/>
        </w:numPr>
        <w:contextualSpacing/>
        <w:rPr>
          <w:rFonts w:ascii="Arial" w:eastAsiaTheme="minorHAnsi" w:hAnsi="Arial" w:cs="Arial"/>
          <w:b/>
          <w:sz w:val="24"/>
          <w:szCs w:val="24"/>
        </w:rPr>
      </w:pPr>
      <w:r w:rsidRPr="007724BE">
        <w:rPr>
          <w:rFonts w:ascii="Arial" w:eastAsiaTheme="minorHAnsi" w:hAnsi="Arial" w:cs="Arial"/>
          <w:sz w:val="24"/>
          <w:szCs w:val="24"/>
        </w:rPr>
        <w:t>Expertise in strategic/NGO organisational development</w:t>
      </w:r>
    </w:p>
    <w:p w:rsidR="00853698" w:rsidRPr="007724BE" w:rsidRDefault="007724BE" w:rsidP="007724BE">
      <w:pPr>
        <w:numPr>
          <w:ilvl w:val="0"/>
          <w:numId w:val="7"/>
        </w:numPr>
        <w:contextualSpacing/>
        <w:rPr>
          <w:rFonts w:ascii="Arial" w:eastAsiaTheme="minorHAnsi" w:hAnsi="Arial" w:cs="Arial"/>
          <w:b/>
          <w:sz w:val="24"/>
          <w:szCs w:val="24"/>
        </w:rPr>
      </w:pPr>
      <w:r w:rsidRPr="007724BE">
        <w:rPr>
          <w:rFonts w:ascii="Arial" w:eastAsiaTheme="minorHAnsi" w:hAnsi="Arial" w:cs="Arial"/>
          <w:sz w:val="24"/>
          <w:szCs w:val="24"/>
        </w:rPr>
        <w:t>Expertise in organisational cost and charging structures, particularly related to commercial activities</w:t>
      </w:r>
    </w:p>
    <w:sectPr w:rsidR="00853698" w:rsidRPr="007724BE" w:rsidSect="00F03D5C">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BE" w:rsidRDefault="007724BE" w:rsidP="007724BE">
      <w:pPr>
        <w:spacing w:after="0" w:line="240" w:lineRule="auto"/>
      </w:pPr>
      <w:r>
        <w:separator/>
      </w:r>
    </w:p>
  </w:endnote>
  <w:endnote w:type="continuationSeparator" w:id="0">
    <w:p w:rsidR="007724BE" w:rsidRDefault="007724BE" w:rsidP="0077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BE" w:rsidRDefault="007724BE" w:rsidP="007724BE">
      <w:pPr>
        <w:spacing w:after="0" w:line="240" w:lineRule="auto"/>
      </w:pPr>
      <w:r>
        <w:separator/>
      </w:r>
    </w:p>
  </w:footnote>
  <w:footnote w:type="continuationSeparator" w:id="0">
    <w:p w:rsidR="007724BE" w:rsidRDefault="007724BE" w:rsidP="00772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BE" w:rsidRDefault="007724BE">
    <w:pPr>
      <w:pStyle w:val="Header"/>
    </w:pPr>
    <w:r w:rsidRPr="007724BE">
      <w:rPr>
        <w:noProof/>
        <w:lang w:val="en-US"/>
      </w:rPr>
      <w:drawing>
        <wp:anchor distT="0" distB="215900" distL="114300" distR="114300" simplePos="0" relativeHeight="251659264" behindDoc="1" locked="0" layoutInCell="1" allowOverlap="1" wp14:anchorId="721CAC18" wp14:editId="5103021D">
          <wp:simplePos x="0" y="0"/>
          <wp:positionH relativeFrom="column">
            <wp:posOffset>-427355</wp:posOffset>
          </wp:positionH>
          <wp:positionV relativeFrom="paragraph">
            <wp:posOffset>26670</wp:posOffset>
          </wp:positionV>
          <wp:extent cx="2179955" cy="525780"/>
          <wp:effectExtent l="0" t="0" r="0" b="7620"/>
          <wp:wrapTopAndBottom/>
          <wp:docPr id="3" name="Picture 1" descr="sisa_logo_rgb_wht_hrz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a_logo_rgb_wht_hrz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525780"/>
                  </a:xfrm>
                  <a:prstGeom prst="rect">
                    <a:avLst/>
                  </a:prstGeom>
                  <a:noFill/>
                  <a:ln>
                    <a:noFill/>
                  </a:ln>
                </pic:spPr>
              </pic:pic>
            </a:graphicData>
          </a:graphic>
        </wp:anchor>
      </w:drawing>
    </w:r>
    <w:r w:rsidRPr="007724BE">
      <w:rPr>
        <w:noProof/>
        <w:lang w:val="en-US"/>
      </w:rPr>
      <w:drawing>
        <wp:anchor distT="0" distB="0" distL="114300" distR="114300" simplePos="0" relativeHeight="251660288" behindDoc="1" locked="0" layoutInCell="1" allowOverlap="1" wp14:anchorId="50BC639D" wp14:editId="66466177">
          <wp:simplePos x="0" y="0"/>
          <wp:positionH relativeFrom="column">
            <wp:posOffset>5362575</wp:posOffset>
          </wp:positionH>
          <wp:positionV relativeFrom="paragraph">
            <wp:posOffset>179070</wp:posOffset>
          </wp:positionV>
          <wp:extent cx="1485900" cy="815975"/>
          <wp:effectExtent l="0" t="0" r="0" b="3175"/>
          <wp:wrapTight wrapText="bothSides">
            <wp:wrapPolygon edited="0">
              <wp:start x="0" y="0"/>
              <wp:lineTo x="0" y="20675"/>
              <wp:lineTo x="13846" y="21180"/>
              <wp:lineTo x="21323" y="21180"/>
              <wp:lineTo x="21323" y="11598"/>
              <wp:lineTo x="20492" y="1513"/>
              <wp:lineTo x="18277" y="504"/>
              <wp:lineTo x="6923" y="0"/>
              <wp:lineTo x="0" y="0"/>
            </wp:wrapPolygon>
          </wp:wrapTight>
          <wp:docPr id="4" name="Picture 4"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I-logo-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85900" cy="8159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603"/>
    <w:multiLevelType w:val="hybridMultilevel"/>
    <w:tmpl w:val="94E0F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9F30FB"/>
    <w:multiLevelType w:val="hybridMultilevel"/>
    <w:tmpl w:val="85C2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8D7D6C"/>
    <w:multiLevelType w:val="hybridMultilevel"/>
    <w:tmpl w:val="1BE20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34C18FF"/>
    <w:multiLevelType w:val="hybridMultilevel"/>
    <w:tmpl w:val="EEFA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4A4A4E"/>
    <w:multiLevelType w:val="hybridMultilevel"/>
    <w:tmpl w:val="B60A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02B37"/>
    <w:multiLevelType w:val="hybridMultilevel"/>
    <w:tmpl w:val="4CA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F0509C"/>
    <w:multiLevelType w:val="hybridMultilevel"/>
    <w:tmpl w:val="98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D84E79"/>
    <w:multiLevelType w:val="hybridMultilevel"/>
    <w:tmpl w:val="9EB4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3E"/>
    <w:rsid w:val="0009423E"/>
    <w:rsid w:val="007724BE"/>
    <w:rsid w:val="00853698"/>
    <w:rsid w:val="00C9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3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3E"/>
    <w:pPr>
      <w:ind w:left="720"/>
      <w:contextualSpacing/>
    </w:pPr>
  </w:style>
  <w:style w:type="paragraph" w:styleId="Header">
    <w:name w:val="header"/>
    <w:basedOn w:val="Normal"/>
    <w:link w:val="HeaderChar"/>
    <w:uiPriority w:val="99"/>
    <w:unhideWhenUsed/>
    <w:rsid w:val="0077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BE"/>
    <w:rPr>
      <w:rFonts w:ascii="Calibri" w:eastAsia="Calibri" w:hAnsi="Calibri" w:cs="Times New Roman"/>
      <w:lang w:val="en-GB"/>
    </w:rPr>
  </w:style>
  <w:style w:type="paragraph" w:styleId="Footer">
    <w:name w:val="footer"/>
    <w:basedOn w:val="Normal"/>
    <w:link w:val="FooterChar"/>
    <w:uiPriority w:val="99"/>
    <w:unhideWhenUsed/>
    <w:rsid w:val="0077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BE"/>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3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3E"/>
    <w:pPr>
      <w:ind w:left="720"/>
      <w:contextualSpacing/>
    </w:pPr>
  </w:style>
  <w:style w:type="paragraph" w:styleId="Header">
    <w:name w:val="header"/>
    <w:basedOn w:val="Normal"/>
    <w:link w:val="HeaderChar"/>
    <w:uiPriority w:val="99"/>
    <w:unhideWhenUsed/>
    <w:rsid w:val="0077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BE"/>
    <w:rPr>
      <w:rFonts w:ascii="Calibri" w:eastAsia="Calibri" w:hAnsi="Calibri" w:cs="Times New Roman"/>
      <w:lang w:val="en-GB"/>
    </w:rPr>
  </w:style>
  <w:style w:type="paragraph" w:styleId="Footer">
    <w:name w:val="footer"/>
    <w:basedOn w:val="Normal"/>
    <w:link w:val="FooterChar"/>
    <w:uiPriority w:val="99"/>
    <w:unhideWhenUsed/>
    <w:rsid w:val="0077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B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HelpAge International</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Hodgson</dc:creator>
  <cp:keywords/>
  <dc:description/>
  <cp:lastModifiedBy>Luke Hodgson</cp:lastModifiedBy>
  <cp:revision>3</cp:revision>
  <dcterms:created xsi:type="dcterms:W3CDTF">2013-07-31T08:22:00Z</dcterms:created>
  <dcterms:modified xsi:type="dcterms:W3CDTF">2013-07-31T08:25:00Z</dcterms:modified>
</cp:coreProperties>
</file>