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96" w:rsidRPr="00F12F5C" w:rsidRDefault="00517096" w:rsidP="00F12F5C">
      <w:pPr>
        <w:spacing w:after="0"/>
        <w:rPr>
          <w:rFonts w:ascii="Times New Roman" w:hAnsi="Times New Roman"/>
          <w:kern w:val="0"/>
          <w:sz w:val="24"/>
        </w:rPr>
        <w:sectPr w:rsidR="00517096" w:rsidRPr="00F12F5C" w:rsidSect="005A1261">
          <w:headerReference w:type="even" r:id="rId8"/>
          <w:headerReference w:type="default" r:id="rId9"/>
          <w:footerReference w:type="default" r:id="rId10"/>
          <w:type w:val="continuous"/>
          <w:pgSz w:w="11906" w:h="16838" w:code="9"/>
          <w:pgMar w:top="2892" w:right="851" w:bottom="1985" w:left="1412" w:header="680" w:footer="1474" w:gutter="0"/>
          <w:cols w:space="708"/>
          <w:docGrid w:linePitch="360"/>
        </w:sectPr>
      </w:pPr>
    </w:p>
    <w:p w:rsidR="00517096" w:rsidRPr="00F12F5C" w:rsidRDefault="005A1261" w:rsidP="00F12F5C">
      <w:pPr>
        <w:spacing w:after="0"/>
        <w:rPr>
          <w:rFonts w:ascii="Times New Roman" w:hAnsi="Times New Roman"/>
          <w:kern w:val="0"/>
          <w:sz w:val="24"/>
        </w:rPr>
      </w:pPr>
      <w:r w:rsidRPr="00F12F5C">
        <w:rPr>
          <w:rFonts w:ascii="Times New Roman" w:hAnsi="Times New Roman"/>
          <w:kern w:val="0"/>
          <w:sz w:val="24"/>
        </w:rPr>
        <w:lastRenderedPageBreak/>
        <w:t>Ms Lorraine Healey</w:t>
      </w:r>
    </w:p>
    <w:p w:rsidR="005A1261" w:rsidRPr="00F12F5C" w:rsidRDefault="005A1261" w:rsidP="00F12F5C">
      <w:pPr>
        <w:spacing w:after="0"/>
        <w:rPr>
          <w:rFonts w:ascii="Times New Roman" w:hAnsi="Times New Roman"/>
          <w:kern w:val="0"/>
          <w:sz w:val="24"/>
        </w:rPr>
      </w:pPr>
      <w:r w:rsidRPr="00F12F5C">
        <w:rPr>
          <w:rFonts w:ascii="Times New Roman" w:hAnsi="Times New Roman"/>
          <w:kern w:val="0"/>
          <w:sz w:val="24"/>
        </w:rPr>
        <w:t>Civil Society Department</w:t>
      </w:r>
    </w:p>
    <w:p w:rsidR="005A1261" w:rsidRPr="00F12F5C" w:rsidRDefault="005A1261" w:rsidP="00F12F5C">
      <w:pPr>
        <w:spacing w:after="0"/>
        <w:rPr>
          <w:rFonts w:ascii="Times New Roman" w:hAnsi="Times New Roman"/>
          <w:kern w:val="0"/>
          <w:sz w:val="24"/>
        </w:rPr>
      </w:pPr>
      <w:r w:rsidRPr="00F12F5C">
        <w:rPr>
          <w:rFonts w:ascii="Times New Roman" w:hAnsi="Times New Roman"/>
          <w:kern w:val="0"/>
          <w:sz w:val="24"/>
        </w:rPr>
        <w:t>DFID</w:t>
      </w:r>
    </w:p>
    <w:p w:rsidR="005A1261" w:rsidRPr="00F12F5C" w:rsidRDefault="005A1261" w:rsidP="00F12F5C">
      <w:pPr>
        <w:spacing w:after="0"/>
        <w:rPr>
          <w:rFonts w:ascii="Times New Roman" w:hAnsi="Times New Roman"/>
          <w:kern w:val="0"/>
          <w:sz w:val="24"/>
        </w:rPr>
      </w:pPr>
      <w:r w:rsidRPr="00F12F5C">
        <w:rPr>
          <w:rFonts w:ascii="Times New Roman" w:hAnsi="Times New Roman"/>
          <w:kern w:val="0"/>
          <w:sz w:val="24"/>
        </w:rPr>
        <w:t>East Kilbride</w:t>
      </w:r>
    </w:p>
    <w:p w:rsidR="005A1261" w:rsidRPr="00F12F5C" w:rsidRDefault="005A1261" w:rsidP="00F12F5C">
      <w:pPr>
        <w:spacing w:after="0"/>
        <w:rPr>
          <w:rFonts w:ascii="Times New Roman" w:hAnsi="Times New Roman"/>
          <w:kern w:val="0"/>
          <w:sz w:val="24"/>
        </w:rPr>
      </w:pPr>
    </w:p>
    <w:p w:rsidR="005A1261" w:rsidRPr="00F12F5C" w:rsidRDefault="005A1261" w:rsidP="00F12F5C">
      <w:pPr>
        <w:spacing w:after="0"/>
        <w:rPr>
          <w:rFonts w:ascii="Times New Roman" w:hAnsi="Times New Roman"/>
          <w:kern w:val="0"/>
          <w:sz w:val="24"/>
        </w:rPr>
      </w:pPr>
      <w:r w:rsidRPr="00F12F5C">
        <w:rPr>
          <w:rFonts w:ascii="Times New Roman" w:hAnsi="Times New Roman"/>
          <w:kern w:val="0"/>
          <w:sz w:val="24"/>
        </w:rPr>
        <w:t>15th October 2012</w:t>
      </w:r>
    </w:p>
    <w:p w:rsidR="005A1261" w:rsidRPr="00F12F5C" w:rsidRDefault="005A1261" w:rsidP="00F12F5C">
      <w:pPr>
        <w:spacing w:after="0"/>
        <w:rPr>
          <w:rFonts w:ascii="Times New Roman" w:hAnsi="Times New Roman"/>
          <w:kern w:val="0"/>
          <w:sz w:val="24"/>
        </w:rPr>
      </w:pPr>
    </w:p>
    <w:p w:rsidR="005A1261" w:rsidRPr="00F12F5C" w:rsidRDefault="005A1261" w:rsidP="00F12F5C">
      <w:pPr>
        <w:spacing w:after="0"/>
        <w:rPr>
          <w:rFonts w:ascii="Times New Roman" w:hAnsi="Times New Roman"/>
          <w:kern w:val="0"/>
          <w:sz w:val="24"/>
        </w:rPr>
      </w:pPr>
      <w:r w:rsidRPr="00F12F5C">
        <w:rPr>
          <w:rFonts w:ascii="Times New Roman" w:hAnsi="Times New Roman"/>
          <w:kern w:val="0"/>
          <w:sz w:val="24"/>
        </w:rPr>
        <w:t>Dear Lorraine</w:t>
      </w:r>
    </w:p>
    <w:p w:rsidR="005A1261" w:rsidRDefault="005A1261" w:rsidP="005A1261"/>
    <w:p w:rsidR="005A1261" w:rsidRPr="005A1261" w:rsidRDefault="005A1261" w:rsidP="005A1261">
      <w:pPr>
        <w:keepNext/>
        <w:spacing w:before="240" w:after="60"/>
        <w:outlineLvl w:val="0"/>
        <w:rPr>
          <w:rFonts w:ascii="Times New Roman" w:hAnsi="Times New Roman" w:cs="Arial"/>
          <w:b/>
          <w:bCs/>
          <w:kern w:val="32"/>
          <w:sz w:val="32"/>
          <w:szCs w:val="32"/>
        </w:rPr>
      </w:pPr>
      <w:r w:rsidRPr="005A1261">
        <w:rPr>
          <w:rFonts w:ascii="Times New Roman" w:hAnsi="Times New Roman" w:cs="Arial"/>
          <w:b/>
          <w:bCs/>
          <w:kern w:val="32"/>
          <w:sz w:val="32"/>
          <w:szCs w:val="32"/>
        </w:rPr>
        <w:t>HelpAge response to the Independent Progress Review of its PPA</w:t>
      </w:r>
    </w:p>
    <w:p w:rsidR="005A1261" w:rsidRPr="005A1261" w:rsidRDefault="005A1261" w:rsidP="005A1261">
      <w:pPr>
        <w:keepNext/>
        <w:spacing w:before="240" w:after="60"/>
        <w:outlineLvl w:val="1"/>
        <w:rPr>
          <w:rFonts w:ascii="Times New Roman" w:hAnsi="Times New Roman" w:cs="Arial"/>
          <w:b/>
          <w:bCs/>
          <w:iCs/>
          <w:kern w:val="0"/>
          <w:sz w:val="24"/>
        </w:rPr>
      </w:pPr>
      <w:r w:rsidRPr="005A1261">
        <w:rPr>
          <w:rFonts w:ascii="Times New Roman" w:hAnsi="Times New Roman" w:cs="Arial"/>
          <w:b/>
          <w:bCs/>
          <w:iCs/>
          <w:kern w:val="0"/>
          <w:sz w:val="24"/>
        </w:rPr>
        <w:t>Overview</w:t>
      </w: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We welcome the consultants’ report and broadly accept its findings. We believe that the report:</w:t>
      </w:r>
    </w:p>
    <w:p w:rsidR="005A1261" w:rsidRPr="005A1261" w:rsidRDefault="005A1261" w:rsidP="005A1261">
      <w:pPr>
        <w:spacing w:after="0"/>
        <w:rPr>
          <w:rFonts w:ascii="Times New Roman" w:hAnsi="Times New Roman"/>
          <w:kern w:val="0"/>
          <w:sz w:val="24"/>
        </w:rPr>
      </w:pPr>
    </w:p>
    <w:p w:rsidR="005A1261" w:rsidRPr="005A1261" w:rsidRDefault="005A1261" w:rsidP="005A1261">
      <w:pPr>
        <w:numPr>
          <w:ilvl w:val="0"/>
          <w:numId w:val="4"/>
        </w:numPr>
        <w:spacing w:after="0"/>
        <w:contextualSpacing/>
        <w:rPr>
          <w:rFonts w:ascii="Times New Roman" w:hAnsi="Times New Roman"/>
          <w:kern w:val="0"/>
          <w:sz w:val="24"/>
        </w:rPr>
      </w:pPr>
      <w:r w:rsidRPr="005A1261">
        <w:rPr>
          <w:rFonts w:ascii="Times New Roman" w:hAnsi="Times New Roman"/>
          <w:kern w:val="0"/>
          <w:sz w:val="24"/>
        </w:rPr>
        <w:t>Validates our statement of results against both outputs and outcomes in the Annual Progress Report (APR)</w:t>
      </w:r>
    </w:p>
    <w:p w:rsidR="005A1261" w:rsidRPr="005A1261" w:rsidRDefault="005A1261" w:rsidP="005A1261">
      <w:pPr>
        <w:numPr>
          <w:ilvl w:val="0"/>
          <w:numId w:val="4"/>
        </w:numPr>
        <w:spacing w:after="0"/>
        <w:contextualSpacing/>
        <w:rPr>
          <w:rFonts w:ascii="Times New Roman" w:hAnsi="Times New Roman"/>
          <w:kern w:val="0"/>
          <w:sz w:val="24"/>
        </w:rPr>
      </w:pPr>
      <w:r w:rsidRPr="005A1261">
        <w:rPr>
          <w:rFonts w:ascii="Times New Roman" w:hAnsi="Times New Roman"/>
          <w:kern w:val="0"/>
          <w:sz w:val="24"/>
        </w:rPr>
        <w:t>Shows that HelpAge makes considered and strategic use of the PPA as part of its unrestricted income</w:t>
      </w:r>
    </w:p>
    <w:p w:rsidR="005A1261" w:rsidRPr="005A1261" w:rsidRDefault="005A1261" w:rsidP="005A1261">
      <w:pPr>
        <w:numPr>
          <w:ilvl w:val="0"/>
          <w:numId w:val="4"/>
        </w:numPr>
        <w:spacing w:after="0"/>
        <w:contextualSpacing/>
        <w:rPr>
          <w:rFonts w:ascii="Times New Roman" w:hAnsi="Times New Roman"/>
          <w:kern w:val="0"/>
          <w:sz w:val="24"/>
        </w:rPr>
      </w:pPr>
      <w:r w:rsidRPr="005A1261">
        <w:rPr>
          <w:rFonts w:ascii="Times New Roman" w:hAnsi="Times New Roman"/>
          <w:kern w:val="0"/>
          <w:sz w:val="24"/>
        </w:rPr>
        <w:t>Demonstrates innovative work which is being wholly or partly funded by the PPA in its early stages</w:t>
      </w:r>
    </w:p>
    <w:p w:rsidR="005A1261" w:rsidRPr="005A1261" w:rsidRDefault="005A1261" w:rsidP="005A1261">
      <w:pPr>
        <w:numPr>
          <w:ilvl w:val="0"/>
          <w:numId w:val="4"/>
        </w:numPr>
        <w:spacing w:after="0"/>
        <w:contextualSpacing/>
        <w:rPr>
          <w:rFonts w:ascii="Times New Roman" w:hAnsi="Times New Roman"/>
          <w:kern w:val="0"/>
          <w:sz w:val="24"/>
        </w:rPr>
      </w:pPr>
      <w:r w:rsidRPr="005A1261">
        <w:rPr>
          <w:rFonts w:ascii="Times New Roman" w:hAnsi="Times New Roman"/>
          <w:kern w:val="0"/>
          <w:sz w:val="24"/>
        </w:rPr>
        <w:t>Assists us in focusing on an improvement agenda for the next year</w:t>
      </w:r>
    </w:p>
    <w:p w:rsidR="005A1261" w:rsidRPr="005A1261" w:rsidRDefault="005A1261" w:rsidP="005A1261">
      <w:pPr>
        <w:spacing w:after="0"/>
        <w:rPr>
          <w:rFonts w:ascii="Times New Roman" w:hAnsi="Times New Roman"/>
          <w:kern w:val="0"/>
          <w:sz w:val="24"/>
        </w:rPr>
      </w:pP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We particularly appreciate the consultants’ attempt to draw out our own views on most significant change which complements the more structured logical framework approach.</w:t>
      </w:r>
    </w:p>
    <w:p w:rsidR="005A1261" w:rsidRPr="005A1261" w:rsidRDefault="005A1261" w:rsidP="005A1261">
      <w:pPr>
        <w:spacing w:after="0"/>
        <w:rPr>
          <w:rFonts w:ascii="Times New Roman" w:hAnsi="Times New Roman"/>
          <w:kern w:val="0"/>
          <w:sz w:val="24"/>
        </w:rPr>
      </w:pP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DFID raised a number of issues in its letter of 23</w:t>
      </w:r>
      <w:r w:rsidRPr="005A1261">
        <w:rPr>
          <w:rFonts w:ascii="Times New Roman" w:hAnsi="Times New Roman"/>
          <w:kern w:val="0"/>
          <w:sz w:val="24"/>
          <w:vertAlign w:val="superscript"/>
        </w:rPr>
        <w:t>rd</w:t>
      </w:r>
      <w:r w:rsidRPr="005A1261">
        <w:rPr>
          <w:rFonts w:ascii="Times New Roman" w:hAnsi="Times New Roman"/>
          <w:kern w:val="0"/>
          <w:sz w:val="24"/>
        </w:rPr>
        <w:t xml:space="preserve"> July in response to our APR. As indicated in our management response to that letter, we have asked the consultants to follow up specifically on these. These include the points above but also: provision of evidence; the contribution of HelpAge to the social protection debate; value for money and relevance. In responding more specifically below, we have focused on these points; on the IPR’s recommendations; and on producing the improvement agenda that DFID have asked be assessed in the 2013 APR and IPR.</w:t>
      </w:r>
    </w:p>
    <w:p w:rsidR="005A1261" w:rsidRPr="005A1261" w:rsidRDefault="005A1261" w:rsidP="005A1261">
      <w:pPr>
        <w:spacing w:after="0"/>
        <w:rPr>
          <w:rFonts w:ascii="Times New Roman" w:hAnsi="Times New Roman"/>
          <w:kern w:val="0"/>
          <w:sz w:val="24"/>
        </w:rPr>
      </w:pP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 xml:space="preserve">We remain concerned about the complexity of the APR/IPR process. However, despite this, we believe the framing of the current round of PPAs and the results focus of the APR have contributed to improving our own internal processes. We would point particularly to the new strategic grant we have secured from </w:t>
      </w:r>
      <w:proofErr w:type="spellStart"/>
      <w:r w:rsidRPr="005A1261">
        <w:rPr>
          <w:rFonts w:ascii="Times New Roman" w:hAnsi="Times New Roman"/>
          <w:kern w:val="0"/>
          <w:sz w:val="24"/>
        </w:rPr>
        <w:t>Sida</w:t>
      </w:r>
      <w:proofErr w:type="spellEnd"/>
      <w:r w:rsidRPr="005A1261">
        <w:rPr>
          <w:rFonts w:ascii="Times New Roman" w:hAnsi="Times New Roman"/>
          <w:kern w:val="0"/>
          <w:sz w:val="24"/>
        </w:rPr>
        <w:t>, who were happy to work with the documentation developed during the PPA application process (see below).</w:t>
      </w:r>
    </w:p>
    <w:p w:rsidR="00F12F5C" w:rsidRDefault="00F12F5C" w:rsidP="005A1261">
      <w:pPr>
        <w:keepNext/>
        <w:spacing w:before="240" w:after="60"/>
        <w:outlineLvl w:val="1"/>
        <w:rPr>
          <w:rFonts w:ascii="Times New Roman" w:hAnsi="Times New Roman" w:cs="Arial"/>
          <w:b/>
          <w:bCs/>
          <w:iCs/>
          <w:kern w:val="0"/>
          <w:sz w:val="24"/>
        </w:rPr>
      </w:pPr>
    </w:p>
    <w:p w:rsidR="005A1261" w:rsidRPr="005A1261" w:rsidRDefault="005A1261" w:rsidP="005A1261">
      <w:pPr>
        <w:keepNext/>
        <w:spacing w:before="240" w:after="60"/>
        <w:outlineLvl w:val="1"/>
        <w:rPr>
          <w:rFonts w:ascii="Times New Roman" w:hAnsi="Times New Roman" w:cs="Arial"/>
          <w:b/>
          <w:bCs/>
          <w:iCs/>
          <w:kern w:val="0"/>
          <w:sz w:val="24"/>
        </w:rPr>
      </w:pPr>
      <w:r w:rsidRPr="005A1261">
        <w:rPr>
          <w:rFonts w:ascii="Times New Roman" w:hAnsi="Times New Roman" w:cs="Arial"/>
          <w:b/>
          <w:bCs/>
          <w:iCs/>
          <w:kern w:val="0"/>
          <w:sz w:val="24"/>
        </w:rPr>
        <w:t>Specific Comments</w:t>
      </w:r>
    </w:p>
    <w:p w:rsidR="005A1261" w:rsidRPr="005A1261" w:rsidRDefault="005A1261" w:rsidP="005A1261">
      <w:pPr>
        <w:spacing w:after="0"/>
        <w:rPr>
          <w:rFonts w:ascii="Times New Roman" w:hAnsi="Times New Roman"/>
          <w:kern w:val="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483"/>
      </w:tblGrid>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Results</w:t>
            </w:r>
          </w:p>
          <w:p w:rsidR="005A1261" w:rsidRPr="005A1261" w:rsidRDefault="005A1261" w:rsidP="005A1261">
            <w:pPr>
              <w:spacing w:after="0"/>
              <w:rPr>
                <w:rFonts w:ascii="Times New Roman" w:hAnsi="Times New Roman"/>
                <w:b/>
                <w:kern w:val="0"/>
                <w:sz w:val="24"/>
              </w:rPr>
            </w:pP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The consultants have validated our self-assessment against both outputs and outcomes. With few exceptions, we are on track to meet the targets indicated in our logical framework. We note that we have submitted a revised logical framework in response to our refinement of the baseline data and DFID’s request of 23</w:t>
            </w:r>
            <w:r w:rsidRPr="005A1261">
              <w:rPr>
                <w:rFonts w:ascii="Times New Roman" w:hAnsi="Times New Roman"/>
                <w:kern w:val="0"/>
                <w:sz w:val="24"/>
                <w:vertAlign w:val="superscript"/>
              </w:rPr>
              <w:t>rd</w:t>
            </w:r>
            <w:r w:rsidRPr="005A1261">
              <w:rPr>
                <w:rFonts w:ascii="Times New Roman" w:hAnsi="Times New Roman"/>
                <w:kern w:val="0"/>
                <w:sz w:val="24"/>
              </w:rPr>
              <w:t xml:space="preserve"> July.</w:t>
            </w:r>
          </w:p>
          <w:p w:rsidR="005A1261" w:rsidRPr="005A1261" w:rsidRDefault="005A1261" w:rsidP="005A1261">
            <w:pPr>
              <w:spacing w:after="0"/>
              <w:rPr>
                <w:rFonts w:ascii="Times New Roman" w:hAnsi="Times New Roman"/>
                <w:kern w:val="0"/>
                <w:sz w:val="24"/>
              </w:rPr>
            </w:pP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The consultants have inserted – with our full agreement – a section on organisational results. We find this helpful in that our investment of unrestricted funds is often against organisational priorities that underpin the achievement of specific objectives.</w:t>
            </w:r>
          </w:p>
          <w:p w:rsidR="005A1261" w:rsidRPr="005A1261" w:rsidRDefault="005A1261" w:rsidP="005A1261">
            <w:pPr>
              <w:spacing w:after="0"/>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Evidence</w:t>
            </w: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We would wish to point out that the consultants have substantiated claims in the APR where DFID noted a lack of evidence in the following areas:</w:t>
            </w:r>
          </w:p>
          <w:p w:rsidR="005A1261" w:rsidRPr="005A1261" w:rsidRDefault="005A1261" w:rsidP="005A1261">
            <w:pPr>
              <w:numPr>
                <w:ilvl w:val="0"/>
                <w:numId w:val="6"/>
              </w:numPr>
              <w:spacing w:after="0"/>
              <w:contextualSpacing/>
              <w:rPr>
                <w:rFonts w:ascii="Times New Roman" w:hAnsi="Times New Roman"/>
                <w:kern w:val="0"/>
                <w:sz w:val="24"/>
              </w:rPr>
            </w:pPr>
            <w:r w:rsidRPr="005A1261">
              <w:rPr>
                <w:rFonts w:ascii="Times New Roman" w:hAnsi="Times New Roman"/>
                <w:kern w:val="0"/>
                <w:sz w:val="24"/>
              </w:rPr>
              <w:t>Impact of the ADA campaign (review of the ADA Evaluation)</w:t>
            </w:r>
          </w:p>
          <w:p w:rsidR="005A1261" w:rsidRPr="005A1261" w:rsidRDefault="005A1261" w:rsidP="005A1261">
            <w:pPr>
              <w:numPr>
                <w:ilvl w:val="0"/>
                <w:numId w:val="6"/>
              </w:numPr>
              <w:spacing w:after="0"/>
              <w:contextualSpacing/>
              <w:rPr>
                <w:rFonts w:ascii="Times New Roman" w:hAnsi="Times New Roman"/>
                <w:kern w:val="0"/>
                <w:sz w:val="24"/>
              </w:rPr>
            </w:pPr>
            <w:r w:rsidRPr="005A1261">
              <w:rPr>
                <w:rFonts w:ascii="Times New Roman" w:hAnsi="Times New Roman"/>
                <w:kern w:val="0"/>
                <w:sz w:val="24"/>
              </w:rPr>
              <w:t>HelpAge as a key actor in the social pensions debate (direct quotes from DFID’s own Policy Division and Tanzania team, the World Bank and others)</w:t>
            </w:r>
          </w:p>
          <w:p w:rsidR="005A1261" w:rsidRPr="005A1261" w:rsidRDefault="005A1261" w:rsidP="005A1261">
            <w:pPr>
              <w:numPr>
                <w:ilvl w:val="0"/>
                <w:numId w:val="6"/>
              </w:numPr>
              <w:spacing w:after="0"/>
              <w:contextualSpacing/>
              <w:rPr>
                <w:rFonts w:ascii="Times New Roman" w:hAnsi="Times New Roman"/>
                <w:kern w:val="0"/>
                <w:sz w:val="24"/>
              </w:rPr>
            </w:pPr>
            <w:r w:rsidRPr="005A1261">
              <w:rPr>
                <w:rFonts w:ascii="Times New Roman" w:hAnsi="Times New Roman"/>
                <w:kern w:val="0"/>
                <w:sz w:val="24"/>
              </w:rPr>
              <w:t xml:space="preserve">The leverage effect of the PPA in securing a similar arrangement with </w:t>
            </w:r>
            <w:proofErr w:type="spellStart"/>
            <w:r w:rsidRPr="005A1261">
              <w:rPr>
                <w:rFonts w:ascii="Times New Roman" w:hAnsi="Times New Roman"/>
                <w:kern w:val="0"/>
                <w:sz w:val="24"/>
              </w:rPr>
              <w:t>Sida</w:t>
            </w:r>
            <w:proofErr w:type="spellEnd"/>
          </w:p>
          <w:p w:rsidR="005A1261" w:rsidRPr="005A1261" w:rsidRDefault="005A1261" w:rsidP="005A1261">
            <w:pPr>
              <w:spacing w:after="0"/>
              <w:ind w:left="720"/>
              <w:contextualSpacing/>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Innovation</w:t>
            </w:r>
          </w:p>
          <w:p w:rsidR="005A1261" w:rsidRPr="005A1261" w:rsidRDefault="005A1261" w:rsidP="005A1261">
            <w:pPr>
              <w:spacing w:after="0"/>
              <w:rPr>
                <w:rFonts w:ascii="Times New Roman" w:hAnsi="Times New Roman"/>
                <w:b/>
                <w:kern w:val="0"/>
                <w:sz w:val="24"/>
              </w:rPr>
            </w:pP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At various points we believe the report points to innovative work in: developing new thematic areas; secondments to key agencies; developing new funding sources; and its use of the internet (e.g. with Pension Watch). We would wish to reinforce the point made by the consultants that unrestricted funds facilitate these innovations.</w:t>
            </w:r>
          </w:p>
          <w:p w:rsidR="005A1261" w:rsidRPr="005A1261" w:rsidRDefault="005A1261" w:rsidP="005A1261">
            <w:pPr>
              <w:spacing w:after="0"/>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Learning</w:t>
            </w: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Whilst not specifically requested to focus on this area, we believe that the IPR consultants have provided a great deal of the material that DFID requested in its July letter</w:t>
            </w:r>
          </w:p>
          <w:p w:rsidR="005A1261" w:rsidRPr="005A1261" w:rsidRDefault="005A1261" w:rsidP="005A1261">
            <w:pPr>
              <w:spacing w:after="0"/>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Additionality</w:t>
            </w:r>
          </w:p>
          <w:p w:rsidR="005A1261" w:rsidRPr="005A1261" w:rsidRDefault="005A1261" w:rsidP="005A1261">
            <w:pPr>
              <w:spacing w:after="0"/>
              <w:rPr>
                <w:rFonts w:ascii="Times New Roman" w:hAnsi="Times New Roman"/>
                <w:b/>
                <w:kern w:val="0"/>
                <w:sz w:val="24"/>
              </w:rPr>
            </w:pP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DFID accepted that our original submission in this area was strong but requested further clarity on how our allocation criteria relate to our global strategy. The second point above under ‘results’ partially addresses this but we accept that we need to make this connection more strongly in documenting our allocation process for 2013/14.</w:t>
            </w:r>
          </w:p>
          <w:p w:rsidR="005A1261" w:rsidRPr="005A1261" w:rsidRDefault="005A1261" w:rsidP="005A1261">
            <w:pPr>
              <w:spacing w:after="0"/>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t>Value for Money</w:t>
            </w:r>
          </w:p>
          <w:p w:rsidR="005A1261" w:rsidRPr="005A1261" w:rsidRDefault="005A1261" w:rsidP="005A1261">
            <w:pPr>
              <w:spacing w:after="0"/>
              <w:rPr>
                <w:rFonts w:ascii="Times New Roman" w:hAnsi="Times New Roman"/>
                <w:b/>
                <w:kern w:val="0"/>
                <w:sz w:val="24"/>
              </w:rPr>
            </w:pPr>
          </w:p>
        </w:tc>
        <w:tc>
          <w:tcPr>
            <w:tcW w:w="7483" w:type="dxa"/>
          </w:tcPr>
          <w:p w:rsidR="005A1261" w:rsidRDefault="005A1261" w:rsidP="005A1261">
            <w:pPr>
              <w:spacing w:after="0"/>
              <w:rPr>
                <w:rFonts w:ascii="Times New Roman" w:hAnsi="Times New Roman"/>
                <w:kern w:val="0"/>
                <w:sz w:val="24"/>
              </w:rPr>
            </w:pPr>
            <w:r w:rsidRPr="005A1261">
              <w:rPr>
                <w:rFonts w:ascii="Times New Roman" w:hAnsi="Times New Roman"/>
                <w:kern w:val="0"/>
                <w:sz w:val="24"/>
              </w:rPr>
              <w:t xml:space="preserve">Overall we believe the report is positive about the basic systems within HelpAge which speak to the  </w:t>
            </w:r>
            <w:r w:rsidRPr="005A1261">
              <w:rPr>
                <w:rFonts w:ascii="Times New Roman" w:hAnsi="Times New Roman"/>
                <w:i/>
                <w:kern w:val="0"/>
                <w:sz w:val="24"/>
              </w:rPr>
              <w:t xml:space="preserve">economy </w:t>
            </w:r>
            <w:r w:rsidRPr="005A1261">
              <w:rPr>
                <w:rFonts w:ascii="Times New Roman" w:hAnsi="Times New Roman"/>
                <w:kern w:val="0"/>
                <w:sz w:val="24"/>
              </w:rPr>
              <w:t xml:space="preserve">agenda. We welcome the consultants’ validation of the set of </w:t>
            </w:r>
            <w:r w:rsidRPr="005A1261">
              <w:rPr>
                <w:rFonts w:ascii="Times New Roman" w:hAnsi="Times New Roman"/>
                <w:i/>
                <w:kern w:val="0"/>
                <w:sz w:val="24"/>
              </w:rPr>
              <w:t>efficiency</w:t>
            </w:r>
            <w:r w:rsidRPr="005A1261">
              <w:rPr>
                <w:rFonts w:ascii="Times New Roman" w:hAnsi="Times New Roman"/>
                <w:kern w:val="0"/>
                <w:sz w:val="24"/>
              </w:rPr>
              <w:t xml:space="preserve"> indicators we have developed at organisational level, whilst recognising that there is more to do in relation to </w:t>
            </w:r>
            <w:r w:rsidRPr="005A1261">
              <w:rPr>
                <w:rFonts w:ascii="Times New Roman" w:hAnsi="Times New Roman"/>
                <w:i/>
                <w:kern w:val="0"/>
                <w:sz w:val="24"/>
              </w:rPr>
              <w:t xml:space="preserve">effectiveness </w:t>
            </w:r>
            <w:r w:rsidRPr="005A1261">
              <w:rPr>
                <w:rFonts w:ascii="Times New Roman" w:hAnsi="Times New Roman"/>
                <w:kern w:val="0"/>
                <w:sz w:val="24"/>
              </w:rPr>
              <w:t xml:space="preserve">at the programme level.  We accept the consultants comments regarding the pressures put on regional offices by the decentralisation approach and have included this issue in our improvement agenda. </w:t>
            </w:r>
          </w:p>
          <w:p w:rsidR="00F12F5C" w:rsidRPr="005A1261" w:rsidRDefault="00F12F5C" w:rsidP="005A1261">
            <w:pPr>
              <w:spacing w:after="0"/>
              <w:rPr>
                <w:rFonts w:ascii="Times New Roman" w:hAnsi="Times New Roman"/>
                <w:kern w:val="0"/>
                <w:sz w:val="24"/>
              </w:rPr>
            </w:pPr>
          </w:p>
          <w:p w:rsidR="005A1261" w:rsidRPr="005A1261" w:rsidRDefault="005A1261" w:rsidP="005A1261">
            <w:pPr>
              <w:spacing w:after="0"/>
              <w:rPr>
                <w:rFonts w:ascii="Times New Roman" w:hAnsi="Times New Roman"/>
                <w:kern w:val="0"/>
                <w:sz w:val="24"/>
              </w:rPr>
            </w:pPr>
          </w:p>
        </w:tc>
      </w:tr>
      <w:tr w:rsidR="005A1261" w:rsidRPr="005A1261" w:rsidTr="009A25E3">
        <w:tc>
          <w:tcPr>
            <w:tcW w:w="2093" w:type="dxa"/>
          </w:tcPr>
          <w:p w:rsidR="005A1261" w:rsidRPr="005A1261" w:rsidRDefault="005A1261" w:rsidP="005A1261">
            <w:pPr>
              <w:spacing w:after="0"/>
              <w:rPr>
                <w:rFonts w:ascii="Times New Roman" w:hAnsi="Times New Roman"/>
                <w:b/>
                <w:kern w:val="0"/>
                <w:sz w:val="24"/>
              </w:rPr>
            </w:pPr>
            <w:r w:rsidRPr="005A1261">
              <w:rPr>
                <w:rFonts w:ascii="Times New Roman" w:hAnsi="Times New Roman"/>
                <w:b/>
                <w:kern w:val="0"/>
                <w:sz w:val="24"/>
              </w:rPr>
              <w:lastRenderedPageBreak/>
              <w:t>Relevance and Targeting</w:t>
            </w:r>
          </w:p>
        </w:tc>
        <w:tc>
          <w:tcPr>
            <w:tcW w:w="7483" w:type="dxa"/>
          </w:tcPr>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The consultants have expanded on the logic of our approaches specifically to fragile and middle income contexts. HelpAge recognises that there are possible tensions between its inclusive, rights-based approach and one that is rigidly poverty targeted but remains committed to the former.</w:t>
            </w:r>
          </w:p>
          <w:p w:rsidR="005A1261" w:rsidRPr="005A1261" w:rsidRDefault="005A1261" w:rsidP="005A1261">
            <w:pPr>
              <w:spacing w:after="0"/>
              <w:rPr>
                <w:rFonts w:ascii="Times New Roman" w:hAnsi="Times New Roman"/>
                <w:kern w:val="0"/>
                <w:sz w:val="24"/>
              </w:rPr>
            </w:pPr>
          </w:p>
        </w:tc>
      </w:tr>
    </w:tbl>
    <w:p w:rsidR="005A1261" w:rsidRPr="005A1261" w:rsidRDefault="005A1261" w:rsidP="005A1261">
      <w:pPr>
        <w:keepNext/>
        <w:spacing w:before="240" w:after="60"/>
        <w:outlineLvl w:val="1"/>
        <w:rPr>
          <w:rFonts w:ascii="Times New Roman" w:hAnsi="Times New Roman" w:cs="Arial"/>
          <w:b/>
          <w:bCs/>
          <w:iCs/>
          <w:kern w:val="0"/>
          <w:sz w:val="24"/>
        </w:rPr>
      </w:pPr>
      <w:r w:rsidRPr="005A1261">
        <w:rPr>
          <w:rFonts w:ascii="Times New Roman" w:hAnsi="Times New Roman" w:cs="Arial"/>
          <w:b/>
          <w:bCs/>
          <w:iCs/>
          <w:kern w:val="0"/>
          <w:sz w:val="24"/>
        </w:rPr>
        <w:t>Areas for improvement</w:t>
      </w:r>
    </w:p>
    <w:p w:rsidR="005A1261" w:rsidRPr="005A1261" w:rsidRDefault="005A1261" w:rsidP="005A1261">
      <w:pPr>
        <w:spacing w:after="0"/>
        <w:rPr>
          <w:rFonts w:ascii="Times New Roman" w:hAnsi="Times New Roman"/>
          <w:kern w:val="0"/>
          <w:sz w:val="24"/>
        </w:rPr>
      </w:pPr>
      <w:r w:rsidRPr="005A1261">
        <w:rPr>
          <w:rFonts w:ascii="Times New Roman" w:hAnsi="Times New Roman"/>
          <w:kern w:val="0"/>
          <w:sz w:val="24"/>
        </w:rPr>
        <w:t>Taking DFID’s comments on the APR and the recommendations of the IPR together, we believe the following represents a reasonable improvement agenda for review in 2013. We would ask DFID to confirm this</w:t>
      </w:r>
    </w:p>
    <w:p w:rsidR="005A1261" w:rsidRPr="005A1261" w:rsidRDefault="005A1261" w:rsidP="005A1261">
      <w:pPr>
        <w:spacing w:after="0"/>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Carry out further work on VFM at the project level through evaluations of a number of key projects with respect to effectiveness and additional data collection with respect to the cost efficiency of output delivery</w:t>
      </w:r>
    </w:p>
    <w:p w:rsidR="005A1261" w:rsidRPr="005A1261" w:rsidRDefault="005A1261" w:rsidP="005A1261">
      <w:pPr>
        <w:spacing w:after="0"/>
        <w:ind w:left="720"/>
        <w:contextualSpacing/>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Roll out a programme of training on impact assessment, VFM and Theories of Change at country level to improve understanding across all staff</w:t>
      </w:r>
    </w:p>
    <w:p w:rsidR="005A1261" w:rsidRPr="005A1261" w:rsidRDefault="005A1261" w:rsidP="005A1261">
      <w:pPr>
        <w:spacing w:after="0"/>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Investigate and implement ways in which we can improve our information management</w:t>
      </w:r>
    </w:p>
    <w:p w:rsidR="005A1261" w:rsidRPr="005A1261" w:rsidRDefault="005A1261" w:rsidP="005A1261">
      <w:pPr>
        <w:spacing w:after="0"/>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Look to provide further support to regional management in the process of decentralisation</w:t>
      </w:r>
    </w:p>
    <w:p w:rsidR="005A1261" w:rsidRPr="005A1261" w:rsidRDefault="005A1261" w:rsidP="005A1261">
      <w:pPr>
        <w:spacing w:after="0"/>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Increase linkages with research and academic institutions in order to strengthen the evidence base</w:t>
      </w:r>
    </w:p>
    <w:p w:rsidR="005A1261" w:rsidRPr="005A1261" w:rsidRDefault="005A1261" w:rsidP="005A1261">
      <w:pPr>
        <w:spacing w:after="0"/>
        <w:ind w:left="720"/>
        <w:contextualSpacing/>
        <w:rPr>
          <w:rFonts w:ascii="Times New Roman" w:hAnsi="Times New Roman"/>
          <w:kern w:val="0"/>
          <w:sz w:val="24"/>
        </w:rPr>
      </w:pPr>
    </w:p>
    <w:p w:rsidR="005A1261" w:rsidRPr="005A1261" w:rsidRDefault="005A1261" w:rsidP="005A1261">
      <w:pPr>
        <w:numPr>
          <w:ilvl w:val="0"/>
          <w:numId w:val="5"/>
        </w:numPr>
        <w:spacing w:after="0"/>
        <w:contextualSpacing/>
        <w:rPr>
          <w:rFonts w:ascii="Times New Roman" w:hAnsi="Times New Roman"/>
          <w:kern w:val="0"/>
          <w:sz w:val="24"/>
        </w:rPr>
      </w:pPr>
      <w:r w:rsidRPr="005A1261">
        <w:rPr>
          <w:rFonts w:ascii="Times New Roman" w:hAnsi="Times New Roman"/>
          <w:kern w:val="0"/>
          <w:sz w:val="24"/>
        </w:rPr>
        <w:t>Continue to develop new sources of unrestricted funding in order to increase and diversify this income stream</w:t>
      </w:r>
    </w:p>
    <w:p w:rsidR="005A1261" w:rsidRDefault="005A1261" w:rsidP="005A1261"/>
    <w:p w:rsidR="00F12F5C" w:rsidRPr="00F12F5C" w:rsidRDefault="00F12F5C" w:rsidP="00F12F5C">
      <w:pPr>
        <w:spacing w:after="0"/>
        <w:rPr>
          <w:rFonts w:ascii="Times New Roman" w:hAnsi="Times New Roman"/>
          <w:kern w:val="0"/>
          <w:sz w:val="24"/>
        </w:rPr>
      </w:pPr>
      <w:r w:rsidRPr="00F12F5C">
        <w:rPr>
          <w:rFonts w:ascii="Times New Roman" w:hAnsi="Times New Roman"/>
          <w:kern w:val="0"/>
          <w:sz w:val="24"/>
        </w:rPr>
        <w:t>I hope that the attached report and this response meet DFID’s requirements in respect of reporting on the first year of our PPA. If you would like any further information please do not hesitate to contact us again</w:t>
      </w:r>
    </w:p>
    <w:p w:rsidR="00F12F5C" w:rsidRPr="00F12F5C" w:rsidRDefault="00F12F5C" w:rsidP="00F12F5C">
      <w:pPr>
        <w:spacing w:after="0"/>
        <w:rPr>
          <w:rFonts w:ascii="Times New Roman" w:hAnsi="Times New Roman"/>
          <w:kern w:val="0"/>
          <w:sz w:val="24"/>
        </w:rPr>
      </w:pPr>
    </w:p>
    <w:p w:rsidR="00F12F5C" w:rsidRPr="00F12F5C" w:rsidRDefault="00F12F5C" w:rsidP="00F12F5C">
      <w:pPr>
        <w:spacing w:after="0"/>
        <w:rPr>
          <w:rFonts w:ascii="Times New Roman" w:hAnsi="Times New Roman"/>
          <w:kern w:val="0"/>
          <w:sz w:val="24"/>
        </w:rPr>
      </w:pPr>
      <w:r w:rsidRPr="00F12F5C">
        <w:rPr>
          <w:rFonts w:ascii="Times New Roman" w:hAnsi="Times New Roman"/>
          <w:kern w:val="0"/>
          <w:sz w:val="24"/>
        </w:rPr>
        <w:t>Yours Sincerely</w:t>
      </w:r>
    </w:p>
    <w:p w:rsidR="00F12F5C" w:rsidRDefault="00F12F5C" w:rsidP="00F12F5C">
      <w:pPr>
        <w:spacing w:after="0"/>
        <w:rPr>
          <w:rFonts w:ascii="Times New Roman" w:hAnsi="Times New Roman"/>
          <w:kern w:val="0"/>
          <w:sz w:val="24"/>
        </w:rPr>
      </w:pPr>
    </w:p>
    <w:p w:rsidR="00F12F5C" w:rsidRDefault="00F12F5C" w:rsidP="00F12F5C">
      <w:pPr>
        <w:spacing w:after="0"/>
        <w:rPr>
          <w:rFonts w:ascii="Times New Roman" w:hAnsi="Times New Roman"/>
          <w:kern w:val="0"/>
          <w:sz w:val="24"/>
        </w:rPr>
      </w:pPr>
    </w:p>
    <w:p w:rsidR="00F12F5C" w:rsidRDefault="005D31A4" w:rsidP="00F12F5C">
      <w:pPr>
        <w:spacing w:after="0"/>
        <w:rPr>
          <w:rFonts w:ascii="Times New Roman" w:hAnsi="Times New Roman"/>
          <w:kern w:val="0"/>
          <w:sz w:val="24"/>
        </w:rPr>
      </w:pPr>
      <w:r>
        <w:rPr>
          <w:rFonts w:ascii="Times New Roman" w:hAnsi="Times New Roman"/>
          <w:noProof/>
          <w:kern w:val="0"/>
          <w:sz w:val="24"/>
          <w:lang w:eastAsia="en-GB"/>
        </w:rPr>
        <w:drawing>
          <wp:inline distT="0" distB="0" distL="0" distR="0">
            <wp:extent cx="1663700" cy="7125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si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283" cy="713647"/>
                    </a:xfrm>
                    <a:prstGeom prst="rect">
                      <a:avLst/>
                    </a:prstGeom>
                  </pic:spPr>
                </pic:pic>
              </a:graphicData>
            </a:graphic>
          </wp:inline>
        </w:drawing>
      </w:r>
    </w:p>
    <w:p w:rsidR="00F12F5C" w:rsidRDefault="00F12F5C" w:rsidP="00F12F5C">
      <w:pPr>
        <w:spacing w:after="0"/>
        <w:rPr>
          <w:rFonts w:ascii="Times New Roman" w:hAnsi="Times New Roman"/>
          <w:kern w:val="0"/>
          <w:sz w:val="24"/>
        </w:rPr>
      </w:pPr>
    </w:p>
    <w:p w:rsidR="00F12F5C" w:rsidRDefault="005D31A4" w:rsidP="00F12F5C">
      <w:pPr>
        <w:spacing w:after="0"/>
        <w:rPr>
          <w:rFonts w:ascii="Times New Roman" w:hAnsi="Times New Roman"/>
          <w:kern w:val="0"/>
          <w:sz w:val="24"/>
        </w:rPr>
      </w:pPr>
      <w:r>
        <w:rPr>
          <w:rFonts w:ascii="Times New Roman" w:hAnsi="Times New Roman"/>
          <w:kern w:val="0"/>
          <w:sz w:val="24"/>
        </w:rPr>
        <w:t>Alex Bush</w:t>
      </w:r>
    </w:p>
    <w:p w:rsidR="00F12F5C" w:rsidRPr="00F12F5C" w:rsidRDefault="00F12F5C" w:rsidP="00F12F5C">
      <w:pPr>
        <w:spacing w:after="0"/>
        <w:rPr>
          <w:rFonts w:ascii="Times New Roman" w:hAnsi="Times New Roman"/>
          <w:kern w:val="0"/>
          <w:sz w:val="24"/>
        </w:rPr>
      </w:pPr>
      <w:bookmarkStart w:id="0" w:name="_GoBack"/>
      <w:bookmarkEnd w:id="0"/>
    </w:p>
    <w:p w:rsidR="00F12F5C" w:rsidRPr="00F12F5C" w:rsidRDefault="005D31A4" w:rsidP="00F12F5C">
      <w:pPr>
        <w:spacing w:after="0"/>
        <w:rPr>
          <w:rFonts w:ascii="Times New Roman" w:hAnsi="Times New Roman"/>
          <w:kern w:val="0"/>
          <w:sz w:val="24"/>
        </w:rPr>
      </w:pPr>
      <w:proofErr w:type="spellStart"/>
      <w:r>
        <w:rPr>
          <w:rFonts w:ascii="Times New Roman" w:hAnsi="Times New Roman"/>
          <w:kern w:val="0"/>
          <w:sz w:val="24"/>
        </w:rPr>
        <w:t>Pp</w:t>
      </w:r>
      <w:proofErr w:type="spellEnd"/>
      <w:r>
        <w:rPr>
          <w:rFonts w:ascii="Times New Roman" w:hAnsi="Times New Roman"/>
          <w:kern w:val="0"/>
          <w:sz w:val="24"/>
        </w:rPr>
        <w:tab/>
      </w:r>
      <w:r w:rsidR="00F12F5C" w:rsidRPr="00F12F5C">
        <w:rPr>
          <w:rFonts w:ascii="Times New Roman" w:hAnsi="Times New Roman"/>
          <w:kern w:val="0"/>
          <w:sz w:val="24"/>
        </w:rPr>
        <w:t>Richard Blewitt</w:t>
      </w:r>
    </w:p>
    <w:p w:rsidR="00F12F5C" w:rsidRPr="00F12F5C" w:rsidRDefault="00F12F5C" w:rsidP="005D31A4">
      <w:pPr>
        <w:spacing w:after="0"/>
        <w:ind w:firstLine="709"/>
        <w:rPr>
          <w:rFonts w:ascii="Times New Roman" w:hAnsi="Times New Roman"/>
          <w:kern w:val="0"/>
          <w:sz w:val="24"/>
        </w:rPr>
      </w:pPr>
      <w:r w:rsidRPr="00F12F5C">
        <w:rPr>
          <w:rFonts w:ascii="Times New Roman" w:hAnsi="Times New Roman"/>
          <w:kern w:val="0"/>
          <w:sz w:val="24"/>
        </w:rPr>
        <w:t>Chief Executive</w:t>
      </w:r>
    </w:p>
    <w:p w:rsidR="003A0BBB" w:rsidRDefault="003A0BBB" w:rsidP="00AE506C">
      <w:pPr>
        <w:pStyle w:val="02Text"/>
      </w:pPr>
    </w:p>
    <w:sectPr w:rsidR="003A0BBB" w:rsidSect="00F12F5C">
      <w:headerReference w:type="default" r:id="rId12"/>
      <w:footerReference w:type="default" r:id="rId13"/>
      <w:type w:val="continuous"/>
      <w:pgSz w:w="11906" w:h="16838" w:code="9"/>
      <w:pgMar w:top="1701" w:right="851" w:bottom="1247"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55" w:rsidRDefault="00BA1955">
      <w:r>
        <w:separator/>
      </w:r>
    </w:p>
  </w:endnote>
  <w:endnote w:type="continuationSeparator" w:id="0">
    <w:p w:rsidR="00BA1955" w:rsidRDefault="00BA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55 Roman">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96" w:rsidRDefault="005A1261" w:rsidP="00517096">
    <w:pPr>
      <w:pStyle w:val="Footer"/>
      <w:tabs>
        <w:tab w:val="clear" w:pos="4320"/>
        <w:tab w:val="clear" w:pos="8640"/>
        <w:tab w:val="right" w:pos="9643"/>
      </w:tabs>
    </w:pPr>
    <w:r>
      <w:rPr>
        <w:noProof/>
        <w:lang w:eastAsia="en-GB"/>
      </w:rPr>
      <mc:AlternateContent>
        <mc:Choice Requires="wps">
          <w:drawing>
            <wp:anchor distT="0" distB="0" distL="114300" distR="114300" simplePos="0" relativeHeight="251656192" behindDoc="0" locked="0" layoutInCell="1" allowOverlap="1" wp14:anchorId="138C62CE" wp14:editId="0BB730F6">
              <wp:simplePos x="0" y="0"/>
              <wp:positionH relativeFrom="column">
                <wp:posOffset>0</wp:posOffset>
              </wp:positionH>
              <wp:positionV relativeFrom="paragraph">
                <wp:posOffset>-64135</wp:posOffset>
              </wp:positionV>
              <wp:extent cx="6282690" cy="989330"/>
              <wp:effectExtent l="1270" t="3175"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9893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7096" w:rsidRPr="004B035C" w:rsidRDefault="00517096" w:rsidP="00517096">
                          <w:pPr>
                            <w:spacing w:after="60"/>
                            <w:rPr>
                              <w:b/>
                              <w:color w:val="AC1D27"/>
                              <w:sz w:val="11"/>
                            </w:rPr>
                          </w:pPr>
                          <w:r w:rsidRPr="004B035C">
                            <w:rPr>
                              <w:b/>
                              <w:color w:val="AC1D27"/>
                              <w:sz w:val="11"/>
                            </w:rPr>
                            <w:t>The contribution older women and men mak</w:t>
                          </w:r>
                          <w:r w:rsidR="005E3FEF">
                            <w:rPr>
                              <w:b/>
                              <w:color w:val="AC1D27"/>
                              <w:sz w:val="11"/>
                            </w:rPr>
                            <w:t>e to society – as carers, advise</w:t>
                          </w:r>
                          <w:r w:rsidRPr="004B035C">
                            <w:rPr>
                              <w:b/>
                              <w:color w:val="AC1D27"/>
                              <w:sz w:val="11"/>
                            </w:rPr>
                            <w:t xml:space="preserve">rs, mediators, mentors and breadwinners – is invaluable. </w:t>
                          </w:r>
                          <w:r w:rsidRPr="004B035C">
                            <w:rPr>
                              <w:b/>
                              <w:color w:val="AC1D27"/>
                              <w:sz w:val="11"/>
                            </w:rPr>
                            <w:br/>
                            <w:t xml:space="preserve">But growing older is not without its problems. HelpAge International helps older people claim their rights, challenge discrimination and overcome poverty, </w:t>
                          </w:r>
                          <w:r w:rsidRPr="004B035C">
                            <w:rPr>
                              <w:b/>
                              <w:color w:val="AC1D27"/>
                              <w:sz w:val="11"/>
                            </w:rPr>
                            <w:br/>
                            <w:t xml:space="preserve">so that they can lead dignified, secure, active and healthy lives. Our work in over </w:t>
                          </w:r>
                          <w:r w:rsidR="005B6025">
                            <w:rPr>
                              <w:b/>
                              <w:color w:val="AC1D27"/>
                              <w:sz w:val="11"/>
                            </w:rPr>
                            <w:t>40</w:t>
                          </w:r>
                          <w:r w:rsidRPr="004B035C">
                            <w:rPr>
                              <w:b/>
                              <w:color w:val="AC1D27"/>
                              <w:sz w:val="11"/>
                            </w:rPr>
                            <w:t xml:space="preserve"> countries is strengthened through our global network of like-minded organisations – the only one of its kind in the world.</w:t>
                          </w:r>
                        </w:p>
                        <w:p w:rsidR="00517096" w:rsidRPr="004B035C" w:rsidRDefault="00517096" w:rsidP="00272F44">
                          <w:pPr>
                            <w:rPr>
                              <w:color w:val="AC1D27"/>
                              <w:sz w:val="11"/>
                            </w:rPr>
                          </w:pPr>
                          <w:r w:rsidRPr="005E3FEF">
                            <w:rPr>
                              <w:i/>
                              <w:color w:val="AC1D27"/>
                              <w:spacing w:val="-2"/>
                              <w:sz w:val="11"/>
                            </w:rPr>
                            <w:t>Regional centres:</w:t>
                          </w:r>
                          <w:r w:rsidRPr="005E3FEF">
                            <w:rPr>
                              <w:color w:val="AC1D27"/>
                              <w:spacing w:val="-2"/>
                              <w:sz w:val="11"/>
                            </w:rPr>
                            <w:t xml:space="preserve"> </w:t>
                          </w:r>
                          <w:r w:rsidRPr="00E705EC">
                            <w:rPr>
                              <w:b/>
                              <w:color w:val="AC1D27"/>
                              <w:spacing w:val="-2"/>
                              <w:sz w:val="11"/>
                            </w:rPr>
                            <w:t>Africa</w:t>
                          </w:r>
                          <w:r w:rsidRPr="005E3FEF">
                            <w:rPr>
                              <w:color w:val="AC1D27"/>
                              <w:spacing w:val="-2"/>
                              <w:sz w:val="11"/>
                            </w:rPr>
                            <w:t xml:space="preserve"> PO Box 14888, </w:t>
                          </w:r>
                          <w:proofErr w:type="spellStart"/>
                          <w:r w:rsidRPr="005E3FEF">
                            <w:rPr>
                              <w:color w:val="AC1D27"/>
                              <w:spacing w:val="-2"/>
                              <w:sz w:val="11"/>
                            </w:rPr>
                            <w:t>Westlands</w:t>
                          </w:r>
                          <w:proofErr w:type="spellEnd"/>
                          <w:r w:rsidRPr="005E3FEF">
                            <w:rPr>
                              <w:color w:val="AC1D27"/>
                              <w:spacing w:val="-2"/>
                              <w:sz w:val="11"/>
                            </w:rPr>
                            <w:t xml:space="preserve">, 00800 Nairobi, Kenya / </w:t>
                          </w:r>
                          <w:r w:rsidR="005E3FEF" w:rsidRPr="00E705EC">
                            <w:rPr>
                              <w:b/>
                              <w:color w:val="AC1D27"/>
                              <w:spacing w:val="-2"/>
                              <w:sz w:val="11"/>
                            </w:rPr>
                            <w:t xml:space="preserve">East Asia and </w:t>
                          </w:r>
                          <w:r w:rsidRPr="00E705EC">
                            <w:rPr>
                              <w:b/>
                              <w:color w:val="AC1D27"/>
                              <w:spacing w:val="-2"/>
                              <w:sz w:val="11"/>
                            </w:rPr>
                            <w:t>Pacific</w:t>
                          </w:r>
                          <w:r w:rsidRPr="005E3FEF">
                            <w:rPr>
                              <w:color w:val="AC1D27"/>
                              <w:spacing w:val="-2"/>
                              <w:sz w:val="11"/>
                            </w:rPr>
                            <w:t xml:space="preserve"> 6, </w:t>
                          </w:r>
                          <w:proofErr w:type="spellStart"/>
                          <w:r w:rsidRPr="005E3FEF">
                            <w:rPr>
                              <w:color w:val="AC1D27"/>
                              <w:spacing w:val="-2"/>
                              <w:sz w:val="11"/>
                            </w:rPr>
                            <w:t>Soi</w:t>
                          </w:r>
                          <w:proofErr w:type="spellEnd"/>
                          <w:r w:rsidRPr="005E3FEF">
                            <w:rPr>
                              <w:color w:val="AC1D27"/>
                              <w:spacing w:val="-2"/>
                              <w:sz w:val="11"/>
                            </w:rPr>
                            <w:t xml:space="preserve"> 17, </w:t>
                          </w:r>
                          <w:proofErr w:type="spellStart"/>
                          <w:r w:rsidRPr="005E3FEF">
                            <w:rPr>
                              <w:color w:val="AC1D27"/>
                              <w:spacing w:val="-2"/>
                              <w:sz w:val="11"/>
                            </w:rPr>
                            <w:t>Nimmanhemin</w:t>
                          </w:r>
                          <w:proofErr w:type="spellEnd"/>
                          <w:r w:rsidRPr="005E3FEF">
                            <w:rPr>
                              <w:color w:val="AC1D27"/>
                              <w:spacing w:val="-2"/>
                              <w:sz w:val="11"/>
                            </w:rPr>
                            <w:t xml:space="preserve"> Road, </w:t>
                          </w:r>
                          <w:proofErr w:type="spellStart"/>
                          <w:r w:rsidRPr="005E3FEF">
                            <w:rPr>
                              <w:color w:val="AC1D27"/>
                              <w:spacing w:val="-2"/>
                              <w:sz w:val="11"/>
                            </w:rPr>
                            <w:t>Suthep</w:t>
                          </w:r>
                          <w:proofErr w:type="spellEnd"/>
                          <w:r w:rsidRPr="005E3FEF">
                            <w:rPr>
                              <w:color w:val="AC1D27"/>
                              <w:spacing w:val="-2"/>
                              <w:sz w:val="11"/>
                            </w:rPr>
                            <w:t xml:space="preserve">, </w:t>
                          </w:r>
                          <w:proofErr w:type="spellStart"/>
                          <w:r w:rsidRPr="005E3FEF">
                            <w:rPr>
                              <w:color w:val="AC1D27"/>
                              <w:spacing w:val="-2"/>
                              <w:sz w:val="11"/>
                            </w:rPr>
                            <w:t>Muang</w:t>
                          </w:r>
                          <w:proofErr w:type="spellEnd"/>
                          <w:r w:rsidRPr="005E3FEF">
                            <w:rPr>
                              <w:color w:val="AC1D27"/>
                              <w:spacing w:val="-2"/>
                              <w:sz w:val="11"/>
                            </w:rPr>
                            <w:t xml:space="preserve">, Chiang Mai 50200, Thailand </w:t>
                          </w:r>
                          <w:r w:rsidR="000525E4" w:rsidRPr="005E3FEF">
                            <w:rPr>
                              <w:color w:val="AC1D27"/>
                              <w:spacing w:val="-2"/>
                              <w:sz w:val="11"/>
                            </w:rPr>
                            <w:t>/</w:t>
                          </w:r>
                          <w:r w:rsidR="000525E4">
                            <w:rPr>
                              <w:color w:val="AC1D27"/>
                              <w:sz w:val="11"/>
                            </w:rPr>
                            <w:t xml:space="preserve"> </w:t>
                          </w:r>
                          <w:r w:rsidR="00E705EC">
                            <w:rPr>
                              <w:color w:val="AC1D27"/>
                              <w:sz w:val="11"/>
                            </w:rPr>
                            <w:br/>
                          </w:r>
                          <w:r w:rsidR="005E3FEF" w:rsidRPr="00E705EC">
                            <w:rPr>
                              <w:b/>
                              <w:color w:val="AC1D27"/>
                              <w:spacing w:val="-4"/>
                              <w:sz w:val="11"/>
                            </w:rPr>
                            <w:t>South Asia</w:t>
                          </w:r>
                          <w:r w:rsidR="005E3FEF" w:rsidRPr="00272F44">
                            <w:rPr>
                              <w:color w:val="AC1D27"/>
                              <w:spacing w:val="-4"/>
                              <w:sz w:val="11"/>
                            </w:rPr>
                            <w:t xml:space="preserve"> </w:t>
                          </w:r>
                          <w:r w:rsidR="00272F44" w:rsidRPr="00272F44">
                            <w:rPr>
                              <w:color w:val="AC1D27"/>
                              <w:sz w:val="11"/>
                              <w:szCs w:val="11"/>
                            </w:rPr>
                            <w:t>Apt</w:t>
                          </w:r>
                          <w:r w:rsidR="0020372E">
                            <w:rPr>
                              <w:color w:val="AC1D27"/>
                              <w:sz w:val="11"/>
                              <w:szCs w:val="11"/>
                            </w:rPr>
                            <w:t xml:space="preserve"> </w:t>
                          </w:r>
                          <w:r w:rsidR="00272F44" w:rsidRPr="00272F44">
                            <w:rPr>
                              <w:color w:val="AC1D27"/>
                              <w:sz w:val="11"/>
                              <w:szCs w:val="11"/>
                            </w:rPr>
                            <w:t>#1W, House</w:t>
                          </w:r>
                          <w:r w:rsidR="0020372E">
                            <w:rPr>
                              <w:color w:val="AC1D27"/>
                              <w:sz w:val="11"/>
                              <w:szCs w:val="11"/>
                            </w:rPr>
                            <w:t xml:space="preserve"> </w:t>
                          </w:r>
                          <w:r w:rsidR="00272F44" w:rsidRPr="00272F44">
                            <w:rPr>
                              <w:color w:val="AC1D27"/>
                              <w:sz w:val="11"/>
                              <w:szCs w:val="11"/>
                            </w:rPr>
                            <w:t>#09, Road #05, </w:t>
                          </w:r>
                          <w:proofErr w:type="spellStart"/>
                          <w:r w:rsidR="00272F44" w:rsidRPr="00272F44">
                            <w:rPr>
                              <w:color w:val="AC1D27"/>
                              <w:sz w:val="11"/>
                              <w:szCs w:val="11"/>
                            </w:rPr>
                            <w:t>Baridhara</w:t>
                          </w:r>
                          <w:proofErr w:type="spellEnd"/>
                          <w:r w:rsidR="00272F44" w:rsidRPr="00272F44">
                            <w:rPr>
                              <w:color w:val="AC1D27"/>
                              <w:sz w:val="11"/>
                              <w:szCs w:val="11"/>
                            </w:rPr>
                            <w:t xml:space="preserve"> Diplomatic Zone, </w:t>
                          </w:r>
                          <w:r w:rsidR="00272F44" w:rsidRPr="00272F44">
                            <w:rPr>
                              <w:bCs/>
                              <w:color w:val="AC1D27"/>
                              <w:kern w:val="0"/>
                              <w:sz w:val="11"/>
                              <w:szCs w:val="11"/>
                              <w:lang w:eastAsia="en-GB"/>
                            </w:rPr>
                            <w:t>Dhaka-1212, Bangladesh</w:t>
                          </w:r>
                          <w:r w:rsidR="005E3FEF" w:rsidRPr="0005490F">
                            <w:rPr>
                              <w:color w:val="AC1D27"/>
                              <w:spacing w:val="-4"/>
                              <w:sz w:val="11"/>
                            </w:rPr>
                            <w:t xml:space="preserve"> / </w:t>
                          </w:r>
                          <w:r w:rsidRPr="0005490F">
                            <w:rPr>
                              <w:b/>
                              <w:color w:val="AC1D27"/>
                              <w:spacing w:val="-4"/>
                              <w:sz w:val="11"/>
                            </w:rPr>
                            <w:t>Caribbean</w:t>
                          </w:r>
                          <w:r w:rsidR="000525E4" w:rsidRPr="0005490F">
                            <w:rPr>
                              <w:b/>
                              <w:color w:val="AC1D27"/>
                              <w:spacing w:val="-4"/>
                              <w:sz w:val="11"/>
                            </w:rPr>
                            <w:t xml:space="preserve"> </w:t>
                          </w:r>
                          <w:r w:rsidR="000525E4" w:rsidRPr="0005490F">
                            <w:rPr>
                              <w:color w:val="AC1D27"/>
                              <w:spacing w:val="-4"/>
                              <w:sz w:val="11"/>
                            </w:rPr>
                            <w:t>Beverly Hills Business Centre, Suite 6, 94N Old Hope Road, Kingston 6, Jamaica</w:t>
                          </w:r>
                          <w:r w:rsidR="000525E4" w:rsidRPr="0005490F">
                            <w:rPr>
                              <w:b/>
                              <w:color w:val="AC1D27"/>
                              <w:spacing w:val="-4"/>
                              <w:sz w:val="11"/>
                            </w:rPr>
                            <w:t xml:space="preserve"> </w:t>
                          </w:r>
                          <w:r w:rsidRPr="0005490F">
                            <w:rPr>
                              <w:color w:val="AC1D27"/>
                              <w:spacing w:val="-4"/>
                              <w:sz w:val="11"/>
                            </w:rPr>
                            <w:t>/</w:t>
                          </w:r>
                          <w:r w:rsidRPr="004B035C">
                            <w:rPr>
                              <w:color w:val="AC1D27"/>
                              <w:sz w:val="11"/>
                            </w:rPr>
                            <w:t xml:space="preserve"> </w:t>
                          </w:r>
                          <w:r w:rsidRPr="004B035C">
                            <w:rPr>
                              <w:b/>
                              <w:color w:val="AC1D27"/>
                              <w:sz w:val="11"/>
                            </w:rPr>
                            <w:t>Latin America</w:t>
                          </w:r>
                          <w:r w:rsidRPr="004B035C">
                            <w:rPr>
                              <w:color w:val="AC1D27"/>
                              <w:sz w:val="11"/>
                            </w:rPr>
                            <w:t xml:space="preserve"> </w:t>
                          </w:r>
                          <w:proofErr w:type="spellStart"/>
                          <w:r w:rsidRPr="004B035C">
                            <w:rPr>
                              <w:color w:val="AC1D27"/>
                              <w:sz w:val="11"/>
                            </w:rPr>
                            <w:t>Calle</w:t>
                          </w:r>
                          <w:proofErr w:type="spellEnd"/>
                          <w:r w:rsidRPr="004B035C">
                            <w:rPr>
                              <w:color w:val="AC1D27"/>
                              <w:sz w:val="11"/>
                            </w:rPr>
                            <w:t xml:space="preserve"> </w:t>
                          </w:r>
                          <w:proofErr w:type="spellStart"/>
                          <w:r w:rsidRPr="004B035C">
                            <w:rPr>
                              <w:color w:val="AC1D27"/>
                              <w:sz w:val="11"/>
                            </w:rPr>
                            <w:t>Vincenti</w:t>
                          </w:r>
                          <w:proofErr w:type="spellEnd"/>
                          <w:r w:rsidRPr="004B035C">
                            <w:rPr>
                              <w:color w:val="AC1D27"/>
                              <w:sz w:val="11"/>
                            </w:rPr>
                            <w:t xml:space="preserve"> No. 576, Entre Claudio </w:t>
                          </w:r>
                          <w:proofErr w:type="spellStart"/>
                          <w:r w:rsidRPr="004B035C">
                            <w:rPr>
                              <w:color w:val="AC1D27"/>
                              <w:sz w:val="11"/>
                            </w:rPr>
                            <w:t>Pinilla</w:t>
                          </w:r>
                          <w:proofErr w:type="spellEnd"/>
                          <w:r w:rsidRPr="004B035C">
                            <w:rPr>
                              <w:color w:val="AC1D27"/>
                              <w:sz w:val="11"/>
                            </w:rPr>
                            <w:t xml:space="preserve"> y Luis, </w:t>
                          </w:r>
                          <w:proofErr w:type="spellStart"/>
                          <w:r w:rsidRPr="004B035C">
                            <w:rPr>
                              <w:color w:val="AC1D27"/>
                              <w:sz w:val="11"/>
                            </w:rPr>
                            <w:t>Uria</w:t>
                          </w:r>
                          <w:proofErr w:type="spellEnd"/>
                          <w:r w:rsidRPr="004B035C">
                            <w:rPr>
                              <w:color w:val="AC1D27"/>
                              <w:sz w:val="11"/>
                            </w:rPr>
                            <w:t xml:space="preserve"> de </w:t>
                          </w:r>
                          <w:proofErr w:type="spellStart"/>
                          <w:r w:rsidRPr="004B035C">
                            <w:rPr>
                              <w:color w:val="AC1D27"/>
                              <w:sz w:val="11"/>
                            </w:rPr>
                            <w:t>Oliva</w:t>
                          </w:r>
                          <w:proofErr w:type="spellEnd"/>
                          <w:r w:rsidRPr="004B035C">
                            <w:rPr>
                              <w:color w:val="AC1D27"/>
                              <w:sz w:val="11"/>
                            </w:rPr>
                            <w:t xml:space="preserve">, </w:t>
                          </w:r>
                          <w:proofErr w:type="spellStart"/>
                          <w:r w:rsidRPr="004B035C">
                            <w:rPr>
                              <w:color w:val="AC1D27"/>
                              <w:sz w:val="11"/>
                            </w:rPr>
                            <w:t>Sopocachi</w:t>
                          </w:r>
                          <w:proofErr w:type="spellEnd"/>
                          <w:r w:rsidRPr="004B035C">
                            <w:rPr>
                              <w:color w:val="AC1D27"/>
                              <w:sz w:val="11"/>
                            </w:rPr>
                            <w:t xml:space="preserve">, La Paz, Bolivia </w:t>
                          </w:r>
                          <w:r w:rsidR="000525E4">
                            <w:rPr>
                              <w:color w:val="AC1D27"/>
                              <w:sz w:val="11"/>
                            </w:rPr>
                            <w:t>/</w:t>
                          </w:r>
                          <w:r w:rsidRPr="004B035C">
                            <w:rPr>
                              <w:b/>
                              <w:color w:val="AC1D27"/>
                              <w:sz w:val="11"/>
                            </w:rPr>
                            <w:t>Eastern Europe and Central Asia</w:t>
                          </w:r>
                          <w:r w:rsidR="005E3FEF">
                            <w:rPr>
                              <w:b/>
                              <w:color w:val="AC1D27"/>
                              <w:sz w:val="11"/>
                            </w:rPr>
                            <w:t xml:space="preserve"> </w:t>
                          </w:r>
                          <w:r w:rsidR="005E3FEF">
                            <w:rPr>
                              <w:color w:val="AC1D27"/>
                              <w:sz w:val="11"/>
                            </w:rPr>
                            <w:t xml:space="preserve">204 </w:t>
                          </w:r>
                          <w:proofErr w:type="spellStart"/>
                          <w:r w:rsidR="005E3FEF">
                            <w:rPr>
                              <w:color w:val="AC1D27"/>
                              <w:sz w:val="11"/>
                            </w:rPr>
                            <w:t>Abdrakhmanova</w:t>
                          </w:r>
                          <w:proofErr w:type="spellEnd"/>
                          <w:r w:rsidR="005E3FEF">
                            <w:rPr>
                              <w:color w:val="AC1D27"/>
                              <w:sz w:val="11"/>
                            </w:rPr>
                            <w:t xml:space="preserve"> Street</w:t>
                          </w:r>
                          <w:r w:rsidRPr="004B035C">
                            <w:rPr>
                              <w:color w:val="AC1D27"/>
                              <w:sz w:val="11"/>
                            </w:rPr>
                            <w:t xml:space="preserve">, </w:t>
                          </w:r>
                          <w:r w:rsidR="005E3FEF">
                            <w:rPr>
                              <w:color w:val="AC1D27"/>
                              <w:sz w:val="11"/>
                            </w:rPr>
                            <w:t>4</w:t>
                          </w:r>
                          <w:r w:rsidR="005E3FEF" w:rsidRPr="005E3FEF">
                            <w:rPr>
                              <w:color w:val="AC1D27"/>
                              <w:sz w:val="11"/>
                            </w:rPr>
                            <w:t>th Floor</w:t>
                          </w:r>
                          <w:r w:rsidR="005E3FEF">
                            <w:rPr>
                              <w:color w:val="AC1D27"/>
                              <w:sz w:val="11"/>
                            </w:rPr>
                            <w:t xml:space="preserve">, </w:t>
                          </w:r>
                          <w:r w:rsidRPr="005E3FEF">
                            <w:rPr>
                              <w:color w:val="AC1D27"/>
                              <w:sz w:val="11"/>
                            </w:rPr>
                            <w:t>7</w:t>
                          </w:r>
                          <w:r w:rsidR="005E3FEF">
                            <w:rPr>
                              <w:color w:val="AC1D27"/>
                              <w:sz w:val="11"/>
                            </w:rPr>
                            <w:t>2004</w:t>
                          </w:r>
                          <w:r w:rsidRPr="004B035C">
                            <w:rPr>
                              <w:color w:val="AC1D27"/>
                              <w:sz w:val="11"/>
                            </w:rPr>
                            <w:t>0 Bishkek, Kyrgyzstan</w:t>
                          </w:r>
                        </w:p>
                        <w:p w:rsidR="00046E67" w:rsidRPr="00000B99" w:rsidRDefault="00517096" w:rsidP="00046E67">
                          <w:pPr>
                            <w:rPr>
                              <w:i/>
                              <w:sz w:val="16"/>
                              <w:szCs w:val="16"/>
                              <w:lang w:val="en-US"/>
                            </w:rPr>
                          </w:pPr>
                          <w:r w:rsidRPr="004B035C">
                            <w:rPr>
                              <w:i/>
                              <w:color w:val="AC1D27"/>
                              <w:sz w:val="11"/>
                            </w:rPr>
                            <w:t>Chair:</w:t>
                          </w:r>
                          <w:r w:rsidRPr="004B035C">
                            <w:rPr>
                              <w:color w:val="AC1D27"/>
                              <w:sz w:val="11"/>
                            </w:rPr>
                            <w:t xml:space="preserve"> </w:t>
                          </w:r>
                          <w:r w:rsidR="005E3FEF" w:rsidRPr="005E3FEF">
                            <w:rPr>
                              <w:b/>
                              <w:color w:val="AC1D27"/>
                              <w:sz w:val="11"/>
                            </w:rPr>
                            <w:t>Tilak de Zoysa</w:t>
                          </w:r>
                          <w:r w:rsidR="005E3FEF">
                            <w:rPr>
                              <w:color w:val="AC1D27"/>
                              <w:sz w:val="11"/>
                            </w:rPr>
                            <w:t xml:space="preserve"> </w:t>
                          </w:r>
                          <w:r w:rsidRPr="004B035C">
                            <w:rPr>
                              <w:color w:val="AC1D27"/>
                              <w:sz w:val="11"/>
                            </w:rPr>
                            <w:t xml:space="preserve">/ </w:t>
                          </w:r>
                          <w:r w:rsidRPr="004B035C">
                            <w:rPr>
                              <w:i/>
                              <w:color w:val="AC1D27"/>
                              <w:sz w:val="11"/>
                            </w:rPr>
                            <w:t>Chief Executive:</w:t>
                          </w:r>
                          <w:r w:rsidRPr="004B035C">
                            <w:rPr>
                              <w:color w:val="AC1D27"/>
                              <w:sz w:val="11"/>
                            </w:rPr>
                            <w:t xml:space="preserve"> </w:t>
                          </w:r>
                          <w:r w:rsidRPr="004B035C">
                            <w:rPr>
                              <w:b/>
                              <w:color w:val="AC1D27"/>
                              <w:sz w:val="11"/>
                            </w:rPr>
                            <w:t>Richard Blewitt</w:t>
                          </w:r>
                          <w:r w:rsidRPr="004B035C">
                            <w:rPr>
                              <w:color w:val="AC1D27"/>
                              <w:sz w:val="11"/>
                            </w:rPr>
                            <w:t xml:space="preserve"> / Registered charity no. 288180 / Company limited by guarantee / Registered in England no. 1762840 </w:t>
                          </w:r>
                          <w:r w:rsidRPr="004B035C">
                            <w:rPr>
                              <w:color w:val="AC1D27"/>
                              <w:sz w:val="11"/>
                            </w:rPr>
                            <w:br/>
                          </w:r>
                          <w:r w:rsidRPr="004B035C">
                            <w:rPr>
                              <w:i/>
                              <w:color w:val="AC1D27"/>
                              <w:sz w:val="11"/>
                            </w:rPr>
                            <w:t>Registered office:</w:t>
                          </w:r>
                          <w:r w:rsidRPr="004B035C">
                            <w:rPr>
                              <w:color w:val="AC1D27"/>
                              <w:sz w:val="11"/>
                            </w:rPr>
                            <w:t xml:space="preserve"> </w:t>
                          </w:r>
                          <w:r w:rsidR="00046E67" w:rsidRPr="00053F4B">
                            <w:rPr>
                              <w:color w:val="AC1D27"/>
                              <w:sz w:val="11"/>
                              <w:szCs w:val="11"/>
                              <w:lang w:val="en-US"/>
                            </w:rPr>
                            <w:t xml:space="preserve">1-6 </w:t>
                          </w:r>
                          <w:proofErr w:type="spellStart"/>
                          <w:r w:rsidR="00046E67" w:rsidRPr="00053F4B">
                            <w:rPr>
                              <w:color w:val="AC1D27"/>
                              <w:sz w:val="11"/>
                              <w:szCs w:val="11"/>
                              <w:lang w:val="en-US"/>
                            </w:rPr>
                            <w:t>Tavistock</w:t>
                          </w:r>
                          <w:proofErr w:type="spellEnd"/>
                          <w:r w:rsidR="00046E67" w:rsidRPr="00053F4B">
                            <w:rPr>
                              <w:color w:val="AC1D27"/>
                              <w:sz w:val="11"/>
                              <w:szCs w:val="11"/>
                              <w:lang w:val="en-US"/>
                            </w:rPr>
                            <w:t xml:space="preserve"> Square, London WC1H 9NA, UK</w:t>
                          </w:r>
                        </w:p>
                        <w:p w:rsidR="00517096" w:rsidRPr="004B035C" w:rsidRDefault="00517096" w:rsidP="00517096">
                          <w:pPr>
                            <w:rPr>
                              <w:color w:val="AC1D27"/>
                              <w:sz w:val="11"/>
                            </w:rPr>
                          </w:pPr>
                        </w:p>
                        <w:p w:rsidR="00517096" w:rsidRPr="00FC3DB7" w:rsidRDefault="00517096" w:rsidP="00517096">
                          <w:pPr>
                            <w:rPr>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0;margin-top:-5.05pt;width:494.7pt;height:7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" stroked="f">
              <v:textbox inset="0,0,0,0">
                <w:txbxContent>
                  <w:p w:rsidR="00517096" w:rsidRPr="004B035C" w:rsidRDefault="00517096" w:rsidP="00517096">
                    <w:pPr>
                      <w:spacing w:after="60"/>
                      <w:rPr>
                        <w:b/>
                        <w:color w:val="AC1D27"/>
                        <w:sz w:val="11"/>
                      </w:rPr>
                    </w:pPr>
                    <w:r w:rsidRPr="004B035C">
                      <w:rPr>
                        <w:b/>
                        <w:color w:val="AC1D27"/>
                        <w:sz w:val="11"/>
                      </w:rPr>
                      <w:t>The contribution older women and men mak</w:t>
                    </w:r>
                    <w:r w:rsidR="005E3FEF">
                      <w:rPr>
                        <w:b/>
                        <w:color w:val="AC1D27"/>
                        <w:sz w:val="11"/>
                      </w:rPr>
                      <w:t>e to society – as carers, advise</w:t>
                    </w:r>
                    <w:r w:rsidRPr="004B035C">
                      <w:rPr>
                        <w:b/>
                        <w:color w:val="AC1D27"/>
                        <w:sz w:val="11"/>
                      </w:rPr>
                      <w:t xml:space="preserve">rs, mediators, mentors and breadwinners – is invaluable. </w:t>
                    </w:r>
                    <w:r w:rsidRPr="004B035C">
                      <w:rPr>
                        <w:b/>
                        <w:color w:val="AC1D27"/>
                        <w:sz w:val="11"/>
                      </w:rPr>
                      <w:br/>
                      <w:t xml:space="preserve">But growing older is not without its problems. HelpAge International helps older people claim their rights, challenge discrimination and overcome poverty, </w:t>
                    </w:r>
                    <w:r w:rsidRPr="004B035C">
                      <w:rPr>
                        <w:b/>
                        <w:color w:val="AC1D27"/>
                        <w:sz w:val="11"/>
                      </w:rPr>
                      <w:br/>
                      <w:t xml:space="preserve">so that they can lead dignified, secure, active and healthy lives. Our work in over </w:t>
                    </w:r>
                    <w:r w:rsidR="005B6025">
                      <w:rPr>
                        <w:b/>
                        <w:color w:val="AC1D27"/>
                        <w:sz w:val="11"/>
                      </w:rPr>
                      <w:t>40</w:t>
                    </w:r>
                    <w:r w:rsidRPr="004B035C">
                      <w:rPr>
                        <w:b/>
                        <w:color w:val="AC1D27"/>
                        <w:sz w:val="11"/>
                      </w:rPr>
                      <w:t xml:space="preserve"> countries is strengthened through our global network of like-minded organisations – the only one of its kind in the world.</w:t>
                    </w:r>
                  </w:p>
                  <w:p w:rsidR="00517096" w:rsidRPr="004B035C" w:rsidRDefault="00517096" w:rsidP="00272F44">
                    <w:pPr>
                      <w:rPr>
                        <w:color w:val="AC1D27"/>
                        <w:sz w:val="11"/>
                      </w:rPr>
                    </w:pPr>
                    <w:r w:rsidRPr="005E3FEF">
                      <w:rPr>
                        <w:i/>
                        <w:color w:val="AC1D27"/>
                        <w:spacing w:val="-2"/>
                        <w:sz w:val="11"/>
                      </w:rPr>
                      <w:t>Regional centres:</w:t>
                    </w:r>
                    <w:r w:rsidRPr="005E3FEF">
                      <w:rPr>
                        <w:color w:val="AC1D27"/>
                        <w:spacing w:val="-2"/>
                        <w:sz w:val="11"/>
                      </w:rPr>
                      <w:t xml:space="preserve"> </w:t>
                    </w:r>
                    <w:r w:rsidRPr="00E705EC">
                      <w:rPr>
                        <w:b/>
                        <w:color w:val="AC1D27"/>
                        <w:spacing w:val="-2"/>
                        <w:sz w:val="11"/>
                      </w:rPr>
                      <w:t>Africa</w:t>
                    </w:r>
                    <w:r w:rsidRPr="005E3FEF">
                      <w:rPr>
                        <w:color w:val="AC1D27"/>
                        <w:spacing w:val="-2"/>
                        <w:sz w:val="11"/>
                      </w:rPr>
                      <w:t xml:space="preserve"> PO Box 14888, </w:t>
                    </w:r>
                    <w:proofErr w:type="spellStart"/>
                    <w:r w:rsidRPr="005E3FEF">
                      <w:rPr>
                        <w:color w:val="AC1D27"/>
                        <w:spacing w:val="-2"/>
                        <w:sz w:val="11"/>
                      </w:rPr>
                      <w:t>Westlands</w:t>
                    </w:r>
                    <w:proofErr w:type="spellEnd"/>
                    <w:r w:rsidRPr="005E3FEF">
                      <w:rPr>
                        <w:color w:val="AC1D27"/>
                        <w:spacing w:val="-2"/>
                        <w:sz w:val="11"/>
                      </w:rPr>
                      <w:t xml:space="preserve">, 00800 Nairobi, Kenya / </w:t>
                    </w:r>
                    <w:r w:rsidR="005E3FEF" w:rsidRPr="00E705EC">
                      <w:rPr>
                        <w:b/>
                        <w:color w:val="AC1D27"/>
                        <w:spacing w:val="-2"/>
                        <w:sz w:val="11"/>
                      </w:rPr>
                      <w:t xml:space="preserve">East Asia and </w:t>
                    </w:r>
                    <w:r w:rsidRPr="00E705EC">
                      <w:rPr>
                        <w:b/>
                        <w:color w:val="AC1D27"/>
                        <w:spacing w:val="-2"/>
                        <w:sz w:val="11"/>
                      </w:rPr>
                      <w:t>Pacific</w:t>
                    </w:r>
                    <w:r w:rsidRPr="005E3FEF">
                      <w:rPr>
                        <w:color w:val="AC1D27"/>
                        <w:spacing w:val="-2"/>
                        <w:sz w:val="11"/>
                      </w:rPr>
                      <w:t xml:space="preserve"> 6, </w:t>
                    </w:r>
                    <w:proofErr w:type="spellStart"/>
                    <w:r w:rsidRPr="005E3FEF">
                      <w:rPr>
                        <w:color w:val="AC1D27"/>
                        <w:spacing w:val="-2"/>
                        <w:sz w:val="11"/>
                      </w:rPr>
                      <w:t>Soi</w:t>
                    </w:r>
                    <w:proofErr w:type="spellEnd"/>
                    <w:r w:rsidRPr="005E3FEF">
                      <w:rPr>
                        <w:color w:val="AC1D27"/>
                        <w:spacing w:val="-2"/>
                        <w:sz w:val="11"/>
                      </w:rPr>
                      <w:t xml:space="preserve"> 17, </w:t>
                    </w:r>
                    <w:proofErr w:type="spellStart"/>
                    <w:r w:rsidRPr="005E3FEF">
                      <w:rPr>
                        <w:color w:val="AC1D27"/>
                        <w:spacing w:val="-2"/>
                        <w:sz w:val="11"/>
                      </w:rPr>
                      <w:t>Nimmanhemin</w:t>
                    </w:r>
                    <w:proofErr w:type="spellEnd"/>
                    <w:r w:rsidRPr="005E3FEF">
                      <w:rPr>
                        <w:color w:val="AC1D27"/>
                        <w:spacing w:val="-2"/>
                        <w:sz w:val="11"/>
                      </w:rPr>
                      <w:t xml:space="preserve"> Road, </w:t>
                    </w:r>
                    <w:proofErr w:type="spellStart"/>
                    <w:r w:rsidRPr="005E3FEF">
                      <w:rPr>
                        <w:color w:val="AC1D27"/>
                        <w:spacing w:val="-2"/>
                        <w:sz w:val="11"/>
                      </w:rPr>
                      <w:t>Suthep</w:t>
                    </w:r>
                    <w:proofErr w:type="spellEnd"/>
                    <w:r w:rsidRPr="005E3FEF">
                      <w:rPr>
                        <w:color w:val="AC1D27"/>
                        <w:spacing w:val="-2"/>
                        <w:sz w:val="11"/>
                      </w:rPr>
                      <w:t xml:space="preserve">, </w:t>
                    </w:r>
                    <w:proofErr w:type="spellStart"/>
                    <w:r w:rsidRPr="005E3FEF">
                      <w:rPr>
                        <w:color w:val="AC1D27"/>
                        <w:spacing w:val="-2"/>
                        <w:sz w:val="11"/>
                      </w:rPr>
                      <w:t>Muang</w:t>
                    </w:r>
                    <w:proofErr w:type="spellEnd"/>
                    <w:r w:rsidRPr="005E3FEF">
                      <w:rPr>
                        <w:color w:val="AC1D27"/>
                        <w:spacing w:val="-2"/>
                        <w:sz w:val="11"/>
                      </w:rPr>
                      <w:t xml:space="preserve">, Chiang Mai 50200, Thailand </w:t>
                    </w:r>
                    <w:r w:rsidR="000525E4" w:rsidRPr="005E3FEF">
                      <w:rPr>
                        <w:color w:val="AC1D27"/>
                        <w:spacing w:val="-2"/>
                        <w:sz w:val="11"/>
                      </w:rPr>
                      <w:t>/</w:t>
                    </w:r>
                    <w:r w:rsidR="000525E4">
                      <w:rPr>
                        <w:color w:val="AC1D27"/>
                        <w:sz w:val="11"/>
                      </w:rPr>
                      <w:t xml:space="preserve"> </w:t>
                    </w:r>
                    <w:r w:rsidR="00E705EC">
                      <w:rPr>
                        <w:color w:val="AC1D27"/>
                        <w:sz w:val="11"/>
                      </w:rPr>
                      <w:br/>
                    </w:r>
                    <w:r w:rsidR="005E3FEF" w:rsidRPr="00E705EC">
                      <w:rPr>
                        <w:b/>
                        <w:color w:val="AC1D27"/>
                        <w:spacing w:val="-4"/>
                        <w:sz w:val="11"/>
                      </w:rPr>
                      <w:t>South Asia</w:t>
                    </w:r>
                    <w:r w:rsidR="005E3FEF" w:rsidRPr="00272F44">
                      <w:rPr>
                        <w:color w:val="AC1D27"/>
                        <w:spacing w:val="-4"/>
                        <w:sz w:val="11"/>
                      </w:rPr>
                      <w:t xml:space="preserve"> </w:t>
                    </w:r>
                    <w:r w:rsidR="00272F44" w:rsidRPr="00272F44">
                      <w:rPr>
                        <w:color w:val="AC1D27"/>
                        <w:sz w:val="11"/>
                        <w:szCs w:val="11"/>
                      </w:rPr>
                      <w:t>Apt</w:t>
                    </w:r>
                    <w:r w:rsidR="0020372E">
                      <w:rPr>
                        <w:color w:val="AC1D27"/>
                        <w:sz w:val="11"/>
                        <w:szCs w:val="11"/>
                      </w:rPr>
                      <w:t xml:space="preserve"> </w:t>
                    </w:r>
                    <w:r w:rsidR="00272F44" w:rsidRPr="00272F44">
                      <w:rPr>
                        <w:color w:val="AC1D27"/>
                        <w:sz w:val="11"/>
                        <w:szCs w:val="11"/>
                      </w:rPr>
                      <w:t>#1W, House</w:t>
                    </w:r>
                    <w:r w:rsidR="0020372E">
                      <w:rPr>
                        <w:color w:val="AC1D27"/>
                        <w:sz w:val="11"/>
                        <w:szCs w:val="11"/>
                      </w:rPr>
                      <w:t xml:space="preserve"> </w:t>
                    </w:r>
                    <w:r w:rsidR="00272F44" w:rsidRPr="00272F44">
                      <w:rPr>
                        <w:color w:val="AC1D27"/>
                        <w:sz w:val="11"/>
                        <w:szCs w:val="11"/>
                      </w:rPr>
                      <w:t>#09, Road #05, </w:t>
                    </w:r>
                    <w:proofErr w:type="spellStart"/>
                    <w:r w:rsidR="00272F44" w:rsidRPr="00272F44">
                      <w:rPr>
                        <w:color w:val="AC1D27"/>
                        <w:sz w:val="11"/>
                        <w:szCs w:val="11"/>
                      </w:rPr>
                      <w:t>Baridhara</w:t>
                    </w:r>
                    <w:proofErr w:type="spellEnd"/>
                    <w:r w:rsidR="00272F44" w:rsidRPr="00272F44">
                      <w:rPr>
                        <w:color w:val="AC1D27"/>
                        <w:sz w:val="11"/>
                        <w:szCs w:val="11"/>
                      </w:rPr>
                      <w:t xml:space="preserve"> Diplomatic Zone, </w:t>
                    </w:r>
                    <w:r w:rsidR="00272F44" w:rsidRPr="00272F44">
                      <w:rPr>
                        <w:bCs/>
                        <w:color w:val="AC1D27"/>
                        <w:kern w:val="0"/>
                        <w:sz w:val="11"/>
                        <w:szCs w:val="11"/>
                        <w:lang w:eastAsia="en-GB"/>
                      </w:rPr>
                      <w:t>Dhaka-1212, Bangladesh</w:t>
                    </w:r>
                    <w:r w:rsidR="005E3FEF" w:rsidRPr="0005490F">
                      <w:rPr>
                        <w:color w:val="AC1D27"/>
                        <w:spacing w:val="-4"/>
                        <w:sz w:val="11"/>
                      </w:rPr>
                      <w:t xml:space="preserve"> / </w:t>
                    </w:r>
                    <w:r w:rsidRPr="0005490F">
                      <w:rPr>
                        <w:b/>
                        <w:color w:val="AC1D27"/>
                        <w:spacing w:val="-4"/>
                        <w:sz w:val="11"/>
                      </w:rPr>
                      <w:t>Caribbean</w:t>
                    </w:r>
                    <w:r w:rsidR="000525E4" w:rsidRPr="0005490F">
                      <w:rPr>
                        <w:b/>
                        <w:color w:val="AC1D27"/>
                        <w:spacing w:val="-4"/>
                        <w:sz w:val="11"/>
                      </w:rPr>
                      <w:t xml:space="preserve"> </w:t>
                    </w:r>
                    <w:r w:rsidR="000525E4" w:rsidRPr="0005490F">
                      <w:rPr>
                        <w:color w:val="AC1D27"/>
                        <w:spacing w:val="-4"/>
                        <w:sz w:val="11"/>
                      </w:rPr>
                      <w:t>Beverly Hills Business Centre, Suite 6, 94N Old Hope Road, Kingston 6, Jamaica</w:t>
                    </w:r>
                    <w:r w:rsidR="000525E4" w:rsidRPr="0005490F">
                      <w:rPr>
                        <w:b/>
                        <w:color w:val="AC1D27"/>
                        <w:spacing w:val="-4"/>
                        <w:sz w:val="11"/>
                      </w:rPr>
                      <w:t xml:space="preserve"> </w:t>
                    </w:r>
                    <w:r w:rsidRPr="0005490F">
                      <w:rPr>
                        <w:color w:val="AC1D27"/>
                        <w:spacing w:val="-4"/>
                        <w:sz w:val="11"/>
                      </w:rPr>
                      <w:t>/</w:t>
                    </w:r>
                    <w:r w:rsidRPr="004B035C">
                      <w:rPr>
                        <w:color w:val="AC1D27"/>
                        <w:sz w:val="11"/>
                      </w:rPr>
                      <w:t xml:space="preserve"> </w:t>
                    </w:r>
                    <w:r w:rsidRPr="004B035C">
                      <w:rPr>
                        <w:b/>
                        <w:color w:val="AC1D27"/>
                        <w:sz w:val="11"/>
                      </w:rPr>
                      <w:t>Latin America</w:t>
                    </w:r>
                    <w:r w:rsidRPr="004B035C">
                      <w:rPr>
                        <w:color w:val="AC1D27"/>
                        <w:sz w:val="11"/>
                      </w:rPr>
                      <w:t xml:space="preserve"> </w:t>
                    </w:r>
                    <w:proofErr w:type="spellStart"/>
                    <w:r w:rsidRPr="004B035C">
                      <w:rPr>
                        <w:color w:val="AC1D27"/>
                        <w:sz w:val="11"/>
                      </w:rPr>
                      <w:t>Calle</w:t>
                    </w:r>
                    <w:proofErr w:type="spellEnd"/>
                    <w:r w:rsidRPr="004B035C">
                      <w:rPr>
                        <w:color w:val="AC1D27"/>
                        <w:sz w:val="11"/>
                      </w:rPr>
                      <w:t xml:space="preserve"> </w:t>
                    </w:r>
                    <w:proofErr w:type="spellStart"/>
                    <w:r w:rsidRPr="004B035C">
                      <w:rPr>
                        <w:color w:val="AC1D27"/>
                        <w:sz w:val="11"/>
                      </w:rPr>
                      <w:t>Vincenti</w:t>
                    </w:r>
                    <w:proofErr w:type="spellEnd"/>
                    <w:r w:rsidRPr="004B035C">
                      <w:rPr>
                        <w:color w:val="AC1D27"/>
                        <w:sz w:val="11"/>
                      </w:rPr>
                      <w:t xml:space="preserve"> No. 576, Entre Claudio </w:t>
                    </w:r>
                    <w:proofErr w:type="spellStart"/>
                    <w:r w:rsidRPr="004B035C">
                      <w:rPr>
                        <w:color w:val="AC1D27"/>
                        <w:sz w:val="11"/>
                      </w:rPr>
                      <w:t>Pinilla</w:t>
                    </w:r>
                    <w:proofErr w:type="spellEnd"/>
                    <w:r w:rsidRPr="004B035C">
                      <w:rPr>
                        <w:color w:val="AC1D27"/>
                        <w:sz w:val="11"/>
                      </w:rPr>
                      <w:t xml:space="preserve"> y Luis, </w:t>
                    </w:r>
                    <w:proofErr w:type="spellStart"/>
                    <w:r w:rsidRPr="004B035C">
                      <w:rPr>
                        <w:color w:val="AC1D27"/>
                        <w:sz w:val="11"/>
                      </w:rPr>
                      <w:t>Uria</w:t>
                    </w:r>
                    <w:proofErr w:type="spellEnd"/>
                    <w:r w:rsidRPr="004B035C">
                      <w:rPr>
                        <w:color w:val="AC1D27"/>
                        <w:sz w:val="11"/>
                      </w:rPr>
                      <w:t xml:space="preserve"> de </w:t>
                    </w:r>
                    <w:proofErr w:type="spellStart"/>
                    <w:r w:rsidRPr="004B035C">
                      <w:rPr>
                        <w:color w:val="AC1D27"/>
                        <w:sz w:val="11"/>
                      </w:rPr>
                      <w:t>Oliva</w:t>
                    </w:r>
                    <w:proofErr w:type="spellEnd"/>
                    <w:r w:rsidRPr="004B035C">
                      <w:rPr>
                        <w:color w:val="AC1D27"/>
                        <w:sz w:val="11"/>
                      </w:rPr>
                      <w:t xml:space="preserve">, </w:t>
                    </w:r>
                    <w:proofErr w:type="spellStart"/>
                    <w:r w:rsidRPr="004B035C">
                      <w:rPr>
                        <w:color w:val="AC1D27"/>
                        <w:sz w:val="11"/>
                      </w:rPr>
                      <w:t>Sopocachi</w:t>
                    </w:r>
                    <w:proofErr w:type="spellEnd"/>
                    <w:r w:rsidRPr="004B035C">
                      <w:rPr>
                        <w:color w:val="AC1D27"/>
                        <w:sz w:val="11"/>
                      </w:rPr>
                      <w:t xml:space="preserve">, La Paz, Bolivia </w:t>
                    </w:r>
                    <w:r w:rsidR="000525E4">
                      <w:rPr>
                        <w:color w:val="AC1D27"/>
                        <w:sz w:val="11"/>
                      </w:rPr>
                      <w:t>/</w:t>
                    </w:r>
                    <w:r w:rsidRPr="004B035C">
                      <w:rPr>
                        <w:b/>
                        <w:color w:val="AC1D27"/>
                        <w:sz w:val="11"/>
                      </w:rPr>
                      <w:t>Eastern Europe and Central Asia</w:t>
                    </w:r>
                    <w:r w:rsidR="005E3FEF">
                      <w:rPr>
                        <w:b/>
                        <w:color w:val="AC1D27"/>
                        <w:sz w:val="11"/>
                      </w:rPr>
                      <w:t xml:space="preserve"> </w:t>
                    </w:r>
                    <w:r w:rsidR="005E3FEF">
                      <w:rPr>
                        <w:color w:val="AC1D27"/>
                        <w:sz w:val="11"/>
                      </w:rPr>
                      <w:t xml:space="preserve">204 </w:t>
                    </w:r>
                    <w:proofErr w:type="spellStart"/>
                    <w:r w:rsidR="005E3FEF">
                      <w:rPr>
                        <w:color w:val="AC1D27"/>
                        <w:sz w:val="11"/>
                      </w:rPr>
                      <w:t>Abdrakhmanova</w:t>
                    </w:r>
                    <w:proofErr w:type="spellEnd"/>
                    <w:r w:rsidR="005E3FEF">
                      <w:rPr>
                        <w:color w:val="AC1D27"/>
                        <w:sz w:val="11"/>
                      </w:rPr>
                      <w:t xml:space="preserve"> Street</w:t>
                    </w:r>
                    <w:r w:rsidRPr="004B035C">
                      <w:rPr>
                        <w:color w:val="AC1D27"/>
                        <w:sz w:val="11"/>
                      </w:rPr>
                      <w:t xml:space="preserve">, </w:t>
                    </w:r>
                    <w:r w:rsidR="005E3FEF">
                      <w:rPr>
                        <w:color w:val="AC1D27"/>
                        <w:sz w:val="11"/>
                      </w:rPr>
                      <w:t>4</w:t>
                    </w:r>
                    <w:r w:rsidR="005E3FEF" w:rsidRPr="005E3FEF">
                      <w:rPr>
                        <w:color w:val="AC1D27"/>
                        <w:sz w:val="11"/>
                      </w:rPr>
                      <w:t>th Floor</w:t>
                    </w:r>
                    <w:r w:rsidR="005E3FEF">
                      <w:rPr>
                        <w:color w:val="AC1D27"/>
                        <w:sz w:val="11"/>
                      </w:rPr>
                      <w:t xml:space="preserve">, </w:t>
                    </w:r>
                    <w:r w:rsidRPr="005E3FEF">
                      <w:rPr>
                        <w:color w:val="AC1D27"/>
                        <w:sz w:val="11"/>
                      </w:rPr>
                      <w:t>7</w:t>
                    </w:r>
                    <w:r w:rsidR="005E3FEF">
                      <w:rPr>
                        <w:color w:val="AC1D27"/>
                        <w:sz w:val="11"/>
                      </w:rPr>
                      <w:t>2004</w:t>
                    </w:r>
                    <w:r w:rsidRPr="004B035C">
                      <w:rPr>
                        <w:color w:val="AC1D27"/>
                        <w:sz w:val="11"/>
                      </w:rPr>
                      <w:t>0 Bishkek, Kyrgyzstan</w:t>
                    </w:r>
                  </w:p>
                  <w:p w:rsidR="00046E67" w:rsidRPr="00000B99" w:rsidRDefault="00517096" w:rsidP="00046E67">
                    <w:pPr>
                      <w:rPr>
                        <w:i/>
                        <w:sz w:val="16"/>
                        <w:szCs w:val="16"/>
                        <w:lang w:val="en-US"/>
                      </w:rPr>
                    </w:pPr>
                    <w:r w:rsidRPr="004B035C">
                      <w:rPr>
                        <w:i/>
                        <w:color w:val="AC1D27"/>
                        <w:sz w:val="11"/>
                      </w:rPr>
                      <w:t>Chair:</w:t>
                    </w:r>
                    <w:r w:rsidRPr="004B035C">
                      <w:rPr>
                        <w:color w:val="AC1D27"/>
                        <w:sz w:val="11"/>
                      </w:rPr>
                      <w:t xml:space="preserve"> </w:t>
                    </w:r>
                    <w:r w:rsidR="005E3FEF" w:rsidRPr="005E3FEF">
                      <w:rPr>
                        <w:b/>
                        <w:color w:val="AC1D27"/>
                        <w:sz w:val="11"/>
                      </w:rPr>
                      <w:t>Tilak de Zoysa</w:t>
                    </w:r>
                    <w:r w:rsidR="005E3FEF">
                      <w:rPr>
                        <w:color w:val="AC1D27"/>
                        <w:sz w:val="11"/>
                      </w:rPr>
                      <w:t xml:space="preserve"> </w:t>
                    </w:r>
                    <w:r w:rsidRPr="004B035C">
                      <w:rPr>
                        <w:color w:val="AC1D27"/>
                        <w:sz w:val="11"/>
                      </w:rPr>
                      <w:t xml:space="preserve">/ </w:t>
                    </w:r>
                    <w:r w:rsidRPr="004B035C">
                      <w:rPr>
                        <w:i/>
                        <w:color w:val="AC1D27"/>
                        <w:sz w:val="11"/>
                      </w:rPr>
                      <w:t>Chief Executive:</w:t>
                    </w:r>
                    <w:r w:rsidRPr="004B035C">
                      <w:rPr>
                        <w:color w:val="AC1D27"/>
                        <w:sz w:val="11"/>
                      </w:rPr>
                      <w:t xml:space="preserve"> </w:t>
                    </w:r>
                    <w:r w:rsidRPr="004B035C">
                      <w:rPr>
                        <w:b/>
                        <w:color w:val="AC1D27"/>
                        <w:sz w:val="11"/>
                      </w:rPr>
                      <w:t>Richard Blewitt</w:t>
                    </w:r>
                    <w:r w:rsidRPr="004B035C">
                      <w:rPr>
                        <w:color w:val="AC1D27"/>
                        <w:sz w:val="11"/>
                      </w:rPr>
                      <w:t xml:space="preserve"> / Registered charity no. 288180 / Company limited by guarantee / Registered in England no. 1762840 </w:t>
                    </w:r>
                    <w:r w:rsidRPr="004B035C">
                      <w:rPr>
                        <w:color w:val="AC1D27"/>
                        <w:sz w:val="11"/>
                      </w:rPr>
                      <w:br/>
                    </w:r>
                    <w:r w:rsidRPr="004B035C">
                      <w:rPr>
                        <w:i/>
                        <w:color w:val="AC1D27"/>
                        <w:sz w:val="11"/>
                      </w:rPr>
                      <w:t>Registered office:</w:t>
                    </w:r>
                    <w:r w:rsidRPr="004B035C">
                      <w:rPr>
                        <w:color w:val="AC1D27"/>
                        <w:sz w:val="11"/>
                      </w:rPr>
                      <w:t xml:space="preserve"> </w:t>
                    </w:r>
                    <w:r w:rsidR="00046E67" w:rsidRPr="00053F4B">
                      <w:rPr>
                        <w:color w:val="AC1D27"/>
                        <w:sz w:val="11"/>
                        <w:szCs w:val="11"/>
                        <w:lang w:val="en-US"/>
                      </w:rPr>
                      <w:t xml:space="preserve">1-6 </w:t>
                    </w:r>
                    <w:proofErr w:type="spellStart"/>
                    <w:r w:rsidR="00046E67" w:rsidRPr="00053F4B">
                      <w:rPr>
                        <w:color w:val="AC1D27"/>
                        <w:sz w:val="11"/>
                        <w:szCs w:val="11"/>
                        <w:lang w:val="en-US"/>
                      </w:rPr>
                      <w:t>Tavistock</w:t>
                    </w:r>
                    <w:proofErr w:type="spellEnd"/>
                    <w:r w:rsidR="00046E67" w:rsidRPr="00053F4B">
                      <w:rPr>
                        <w:color w:val="AC1D27"/>
                        <w:sz w:val="11"/>
                        <w:szCs w:val="11"/>
                        <w:lang w:val="en-US"/>
                      </w:rPr>
                      <w:t xml:space="preserve"> Square, London WC1H 9NA, UK</w:t>
                    </w:r>
                  </w:p>
                  <w:p w:rsidR="00517096" w:rsidRPr="004B035C" w:rsidRDefault="00517096" w:rsidP="00517096">
                    <w:pPr>
                      <w:rPr>
                        <w:color w:val="AC1D27"/>
                        <w:sz w:val="11"/>
                      </w:rPr>
                    </w:pPr>
                  </w:p>
                  <w:p w:rsidR="00517096" w:rsidRPr="00FC3DB7" w:rsidRDefault="00517096" w:rsidP="00517096">
                    <w:pPr>
                      <w:rPr>
                        <w:sz w:val="11"/>
                      </w:rPr>
                    </w:pPr>
                  </w:p>
                </w:txbxContent>
              </v:textbox>
            </v:shape>
          </w:pict>
        </mc:Fallback>
      </mc:AlternateContent>
    </w:r>
    <w:r w:rsidR="0051709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91544"/>
      <w:docPartObj>
        <w:docPartGallery w:val="Page Numbers (Bottom of Page)"/>
        <w:docPartUnique/>
      </w:docPartObj>
    </w:sdtPr>
    <w:sdtEndPr>
      <w:rPr>
        <w:noProof/>
      </w:rPr>
    </w:sdtEndPr>
    <w:sdtContent>
      <w:p w:rsidR="008462D7" w:rsidRDefault="008462D7">
        <w:pPr>
          <w:pStyle w:val="Footer"/>
          <w:jc w:val="center"/>
        </w:pPr>
        <w:r>
          <w:fldChar w:fldCharType="begin"/>
        </w:r>
        <w:r>
          <w:instrText xml:space="preserve"> PAGE   \* MERGEFORMAT </w:instrText>
        </w:r>
        <w:r>
          <w:fldChar w:fldCharType="separate"/>
        </w:r>
        <w:r w:rsidR="005D31A4">
          <w:rPr>
            <w:noProof/>
          </w:rPr>
          <w:t>3</w:t>
        </w:r>
        <w:r>
          <w:rPr>
            <w:noProof/>
          </w:rPr>
          <w:fldChar w:fldCharType="end"/>
        </w:r>
      </w:p>
    </w:sdtContent>
  </w:sdt>
  <w:p w:rsidR="00517096" w:rsidRDefault="00517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55" w:rsidRDefault="00BA1955">
      <w:r>
        <w:separator/>
      </w:r>
    </w:p>
  </w:footnote>
  <w:footnote w:type="continuationSeparator" w:id="0">
    <w:p w:rsidR="00BA1955" w:rsidRDefault="00BA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96" w:rsidRDefault="00517096" w:rsidP="0051709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17096" w:rsidRDefault="00517096" w:rsidP="00517096">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96" w:rsidRDefault="005A1261">
    <w:pPr>
      <w:pStyle w:val="Header"/>
    </w:pPr>
    <w:r>
      <w:rPr>
        <w:noProof/>
        <w:lang w:eastAsia="en-GB"/>
      </w:rPr>
      <mc:AlternateContent>
        <mc:Choice Requires="wps">
          <w:drawing>
            <wp:anchor distT="0" distB="0" distL="114300" distR="114300" simplePos="0" relativeHeight="251657216" behindDoc="0" locked="0" layoutInCell="0" allowOverlap="1" wp14:anchorId="4FA61C71" wp14:editId="329DEC6D">
              <wp:simplePos x="0" y="0"/>
              <wp:positionH relativeFrom="page">
                <wp:posOffset>900430</wp:posOffset>
              </wp:positionH>
              <wp:positionV relativeFrom="page">
                <wp:posOffset>431800</wp:posOffset>
              </wp:positionV>
              <wp:extent cx="1367790" cy="914400"/>
              <wp:effectExtent l="0" t="3175"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14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4667" w:rsidRPr="00BF17B1" w:rsidRDefault="00834667" w:rsidP="00BF17B1">
                          <w:pPr>
                            <w:pStyle w:val="Addressinheader"/>
                            <w:rPr>
                              <w:color w:val="AC1D27"/>
                            </w:rPr>
                          </w:pPr>
                          <w:r w:rsidRPr="00BF17B1">
                            <w:rPr>
                              <w:color w:val="AC1D27"/>
                            </w:rPr>
                            <w:t>PO Box 70156</w:t>
                          </w:r>
                          <w:r w:rsidRPr="00BF17B1">
                            <w:rPr>
                              <w:color w:val="AC1D27"/>
                            </w:rPr>
                            <w:br/>
                            <w:t>London WC</w:t>
                          </w:r>
                          <w:r w:rsidR="00517096" w:rsidRPr="00BF17B1">
                            <w:rPr>
                              <w:color w:val="AC1D27"/>
                            </w:rPr>
                            <w:t>1</w:t>
                          </w:r>
                          <w:r w:rsidRPr="00BF17B1">
                            <w:rPr>
                              <w:color w:val="AC1D27"/>
                            </w:rPr>
                            <w:t>A</w:t>
                          </w:r>
                          <w:r w:rsidR="00517096" w:rsidRPr="00BF17B1">
                            <w:rPr>
                              <w:color w:val="AC1D27"/>
                            </w:rPr>
                            <w:t xml:space="preserve"> 9</w:t>
                          </w:r>
                          <w:r w:rsidRPr="00BF17B1">
                            <w:rPr>
                              <w:color w:val="AC1D27"/>
                            </w:rPr>
                            <w:t>GB</w:t>
                          </w:r>
                          <w:r w:rsidR="00517096" w:rsidRPr="00BF17B1">
                            <w:rPr>
                              <w:color w:val="AC1D27"/>
                            </w:rPr>
                            <w:t>, UK</w:t>
                          </w:r>
                        </w:p>
                        <w:p w:rsidR="00834667" w:rsidRPr="00BF17B1" w:rsidRDefault="00834667" w:rsidP="00BF17B1">
                          <w:pPr>
                            <w:pStyle w:val="Addressinheader"/>
                            <w:rPr>
                              <w:rFonts w:ascii="Times New Roman" w:hAnsi="Times New Roman"/>
                              <w:color w:val="AC1D27"/>
                              <w:kern w:val="0"/>
                              <w:sz w:val="24"/>
                              <w:lang w:eastAsia="en-GB"/>
                            </w:rPr>
                          </w:pPr>
                          <w:r w:rsidRPr="00BF17B1">
                            <w:rPr>
                              <w:color w:val="AC1D27"/>
                            </w:rPr>
                            <w:t xml:space="preserve">3rd Floor, </w:t>
                          </w:r>
                          <w:proofErr w:type="spellStart"/>
                          <w:r w:rsidRPr="00BF17B1">
                            <w:rPr>
                              <w:color w:val="AC1D27"/>
                            </w:rPr>
                            <w:t>Tavis</w:t>
                          </w:r>
                          <w:proofErr w:type="spellEnd"/>
                          <w:r w:rsidRPr="00BF17B1">
                            <w:rPr>
                              <w:color w:val="AC1D27"/>
                            </w:rPr>
                            <w:t xml:space="preserve"> House, </w:t>
                          </w:r>
                          <w:r w:rsidRPr="00BF17B1">
                            <w:rPr>
                              <w:color w:val="AC1D27"/>
                            </w:rPr>
                            <w:br/>
                            <w:t xml:space="preserve">1-6 </w:t>
                          </w:r>
                          <w:proofErr w:type="spellStart"/>
                          <w:r w:rsidRPr="00BF17B1">
                            <w:rPr>
                              <w:color w:val="AC1D27"/>
                            </w:rPr>
                            <w:t>Tavistock</w:t>
                          </w:r>
                          <w:proofErr w:type="spellEnd"/>
                          <w:r w:rsidRPr="00BF17B1">
                            <w:rPr>
                              <w:color w:val="AC1D27"/>
                            </w:rPr>
                            <w:t xml:space="preserve"> Square, London WC1H 9NA, UK</w:t>
                          </w:r>
                        </w:p>
                        <w:p w:rsidR="00517096" w:rsidRPr="004B035C" w:rsidRDefault="00517096" w:rsidP="00667CDC">
                          <w:pPr>
                            <w:pStyle w:val="Addressinheader"/>
                            <w:rPr>
                              <w:color w:val="AC1D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0.9pt;margin-top:34pt;width:107.7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" o:allowincell="f" stroked="f">
              <v:textbox inset="0,0,0,0">
                <w:txbxContent>
                  <w:p w:rsidR="00834667" w:rsidRPr="00BF17B1" w:rsidRDefault="00834667" w:rsidP="00BF17B1">
                    <w:pPr>
                      <w:pStyle w:val="Addressinheader"/>
                      <w:rPr>
                        <w:color w:val="AC1D27"/>
                      </w:rPr>
                    </w:pPr>
                    <w:r w:rsidRPr="00BF17B1">
                      <w:rPr>
                        <w:color w:val="AC1D27"/>
                      </w:rPr>
                      <w:t>PO Box 70156</w:t>
                    </w:r>
                    <w:r w:rsidRPr="00BF17B1">
                      <w:rPr>
                        <w:color w:val="AC1D27"/>
                      </w:rPr>
                      <w:br/>
                      <w:t>London WC</w:t>
                    </w:r>
                    <w:r w:rsidR="00517096" w:rsidRPr="00BF17B1">
                      <w:rPr>
                        <w:color w:val="AC1D27"/>
                      </w:rPr>
                      <w:t>1</w:t>
                    </w:r>
                    <w:r w:rsidRPr="00BF17B1">
                      <w:rPr>
                        <w:color w:val="AC1D27"/>
                      </w:rPr>
                      <w:t>A</w:t>
                    </w:r>
                    <w:r w:rsidR="00517096" w:rsidRPr="00BF17B1">
                      <w:rPr>
                        <w:color w:val="AC1D27"/>
                      </w:rPr>
                      <w:t xml:space="preserve"> 9</w:t>
                    </w:r>
                    <w:r w:rsidRPr="00BF17B1">
                      <w:rPr>
                        <w:color w:val="AC1D27"/>
                      </w:rPr>
                      <w:t>GB</w:t>
                    </w:r>
                    <w:r w:rsidR="00517096" w:rsidRPr="00BF17B1">
                      <w:rPr>
                        <w:color w:val="AC1D27"/>
                      </w:rPr>
                      <w:t>, UK</w:t>
                    </w:r>
                  </w:p>
                  <w:p w:rsidR="00834667" w:rsidRPr="00BF17B1" w:rsidRDefault="00834667" w:rsidP="00BF17B1">
                    <w:pPr>
                      <w:pStyle w:val="Addressinheader"/>
                      <w:rPr>
                        <w:rFonts w:ascii="Times New Roman" w:hAnsi="Times New Roman"/>
                        <w:color w:val="AC1D27"/>
                        <w:kern w:val="0"/>
                        <w:sz w:val="24"/>
                        <w:lang w:eastAsia="en-GB"/>
                      </w:rPr>
                    </w:pPr>
                    <w:r w:rsidRPr="00BF17B1">
                      <w:rPr>
                        <w:color w:val="AC1D27"/>
                      </w:rPr>
                      <w:t xml:space="preserve">3rd Floor, </w:t>
                    </w:r>
                    <w:proofErr w:type="spellStart"/>
                    <w:r w:rsidRPr="00BF17B1">
                      <w:rPr>
                        <w:color w:val="AC1D27"/>
                      </w:rPr>
                      <w:t>Tavis</w:t>
                    </w:r>
                    <w:proofErr w:type="spellEnd"/>
                    <w:r w:rsidRPr="00BF17B1">
                      <w:rPr>
                        <w:color w:val="AC1D27"/>
                      </w:rPr>
                      <w:t xml:space="preserve"> House, </w:t>
                    </w:r>
                    <w:r w:rsidRPr="00BF17B1">
                      <w:rPr>
                        <w:color w:val="AC1D27"/>
                      </w:rPr>
                      <w:br/>
                      <w:t xml:space="preserve">1-6 </w:t>
                    </w:r>
                    <w:proofErr w:type="spellStart"/>
                    <w:r w:rsidRPr="00BF17B1">
                      <w:rPr>
                        <w:color w:val="AC1D27"/>
                      </w:rPr>
                      <w:t>Tavistock</w:t>
                    </w:r>
                    <w:proofErr w:type="spellEnd"/>
                    <w:r w:rsidRPr="00BF17B1">
                      <w:rPr>
                        <w:color w:val="AC1D27"/>
                      </w:rPr>
                      <w:t xml:space="preserve"> Square, London WC1H 9NA, UK</w:t>
                    </w:r>
                  </w:p>
                  <w:p w:rsidR="00517096" w:rsidRPr="004B035C" w:rsidRDefault="00517096" w:rsidP="00667CDC">
                    <w:pPr>
                      <w:pStyle w:val="Addressinheader"/>
                      <w:rPr>
                        <w:color w:val="AC1D27"/>
                      </w:rPr>
                    </w:pPr>
                  </w:p>
                </w:txbxContent>
              </v:textbox>
              <w10:wrap anchorx="page" anchory="page"/>
            </v:shape>
          </w:pict>
        </mc:Fallback>
      </mc:AlternateContent>
    </w:r>
    <w:r>
      <w:rPr>
        <w:noProof/>
        <w:szCs w:val="20"/>
        <w:lang w:eastAsia="en-GB"/>
      </w:rPr>
      <w:drawing>
        <wp:anchor distT="0" distB="0" distL="114300" distR="114300" simplePos="0" relativeHeight="251660288" behindDoc="1" locked="0" layoutInCell="1" allowOverlap="1" wp14:anchorId="6F83CF1C" wp14:editId="2EAD6A3F">
          <wp:simplePos x="0" y="0"/>
          <wp:positionH relativeFrom="page">
            <wp:posOffset>5609590</wp:posOffset>
          </wp:positionH>
          <wp:positionV relativeFrom="page">
            <wp:posOffset>431800</wp:posOffset>
          </wp:positionV>
          <wp:extent cx="1461770" cy="798195"/>
          <wp:effectExtent l="0" t="0" r="5080" b="1905"/>
          <wp:wrapNone/>
          <wp:docPr id="33" name="Picture 33"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AI-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eastAsia="en-GB"/>
      </w:rPr>
      <mc:AlternateContent>
        <mc:Choice Requires="wps">
          <w:drawing>
            <wp:anchor distT="0" distB="0" distL="114300" distR="114300" simplePos="0" relativeHeight="251659264" behindDoc="0" locked="0" layoutInCell="1" allowOverlap="1" wp14:anchorId="4DD1BD24" wp14:editId="0251E825">
              <wp:simplePos x="0" y="0"/>
              <wp:positionH relativeFrom="page">
                <wp:posOffset>360045</wp:posOffset>
              </wp:positionH>
              <wp:positionV relativeFrom="page">
                <wp:posOffset>3564255</wp:posOffset>
              </wp:positionV>
              <wp:extent cx="17780" cy="17780"/>
              <wp:effectExtent l="7620" t="1905" r="3175" b="8890"/>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7780"/>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28.35pt;margin-top:280.65pt;width:1.4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" fillcolor="black" stroked="f">
              <w10:wrap anchorx="page" anchory="page"/>
            </v:oval>
          </w:pict>
        </mc:Fallback>
      </mc:AlternateContent>
    </w:r>
    <w:r>
      <w:rPr>
        <w:noProof/>
        <w:lang w:eastAsia="en-GB"/>
      </w:rPr>
      <mc:AlternateContent>
        <mc:Choice Requires="wps">
          <w:drawing>
            <wp:anchor distT="0" distB="0" distL="114300" distR="114300" simplePos="0" relativeHeight="251655168" behindDoc="0" locked="0" layoutInCell="0" allowOverlap="1" wp14:anchorId="1B4393A8" wp14:editId="0A846110">
              <wp:simplePos x="0" y="0"/>
              <wp:positionH relativeFrom="page">
                <wp:posOffset>2484120</wp:posOffset>
              </wp:positionH>
              <wp:positionV relativeFrom="page">
                <wp:posOffset>431800</wp:posOffset>
              </wp:positionV>
              <wp:extent cx="1367790" cy="775335"/>
              <wp:effectExtent l="0" t="3175"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7753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7096" w:rsidRPr="004B035C" w:rsidRDefault="00517096" w:rsidP="00667CDC">
                          <w:pPr>
                            <w:pStyle w:val="Addressinheader"/>
                            <w:rPr>
                              <w:color w:val="AC1D27"/>
                            </w:rPr>
                          </w:pPr>
                          <w:r w:rsidRPr="004B035C">
                            <w:rPr>
                              <w:color w:val="AC1D27"/>
                            </w:rPr>
                            <w:t>Tel</w:t>
                          </w:r>
                          <w:r w:rsidRPr="004B035C">
                            <w:rPr>
                              <w:color w:val="AC1D27"/>
                            </w:rPr>
                            <w:tab/>
                            <w:t>+44 (0)20 7278 7778</w:t>
                          </w:r>
                          <w:r w:rsidRPr="004B035C">
                            <w:rPr>
                              <w:color w:val="AC1D27"/>
                            </w:rPr>
                            <w:br/>
                            <w:t>Fax</w:t>
                          </w:r>
                          <w:r w:rsidRPr="004B035C">
                            <w:rPr>
                              <w:color w:val="AC1D27"/>
                            </w:rPr>
                            <w:tab/>
                            <w:t>+44 (0)20 7</w:t>
                          </w:r>
                          <w:r w:rsidR="005E3FEF">
                            <w:rPr>
                              <w:color w:val="AC1D27"/>
                            </w:rPr>
                            <w:t>387 6992</w:t>
                          </w:r>
                        </w:p>
                        <w:p w:rsidR="00517096" w:rsidRPr="004B035C" w:rsidRDefault="00517096" w:rsidP="00667CDC">
                          <w:pPr>
                            <w:pStyle w:val="Addressinheader"/>
                            <w:rPr>
                              <w:color w:val="AC1D27"/>
                            </w:rPr>
                          </w:pPr>
                          <w:r w:rsidRPr="004B035C">
                            <w:rPr>
                              <w:color w:val="AC1D27"/>
                            </w:rPr>
                            <w:t>info@helpage.org</w:t>
                          </w:r>
                          <w:r w:rsidRPr="004B035C">
                            <w:rPr>
                              <w:color w:val="AC1D27"/>
                            </w:rPr>
                            <w:br/>
                            <w:t>www.helpage.org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95.6pt;margin-top:34pt;width:107.7pt;height:6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" o:allowincell="f" stroked="f">
              <v:textbox inset="0,0,0,0">
                <w:txbxContent>
                  <w:p w:rsidR="00517096" w:rsidRPr="004B035C" w:rsidRDefault="00517096" w:rsidP="00667CDC">
                    <w:pPr>
                      <w:pStyle w:val="Addressinheader"/>
                      <w:rPr>
                        <w:color w:val="AC1D27"/>
                      </w:rPr>
                    </w:pPr>
                    <w:r w:rsidRPr="004B035C">
                      <w:rPr>
                        <w:color w:val="AC1D27"/>
                      </w:rPr>
                      <w:t>Tel</w:t>
                    </w:r>
                    <w:r w:rsidRPr="004B035C">
                      <w:rPr>
                        <w:color w:val="AC1D27"/>
                      </w:rPr>
                      <w:tab/>
                      <w:t>+44 (0)20 7278 7778</w:t>
                    </w:r>
                    <w:r w:rsidRPr="004B035C">
                      <w:rPr>
                        <w:color w:val="AC1D27"/>
                      </w:rPr>
                      <w:br/>
                      <w:t>Fax</w:t>
                    </w:r>
                    <w:r w:rsidRPr="004B035C">
                      <w:rPr>
                        <w:color w:val="AC1D27"/>
                      </w:rPr>
                      <w:tab/>
                      <w:t>+44 (0)20 7</w:t>
                    </w:r>
                    <w:r w:rsidR="005E3FEF">
                      <w:rPr>
                        <w:color w:val="AC1D27"/>
                      </w:rPr>
                      <w:t>387 6992</w:t>
                    </w:r>
                  </w:p>
                  <w:p w:rsidR="00517096" w:rsidRPr="004B035C" w:rsidRDefault="00517096" w:rsidP="00667CDC">
                    <w:pPr>
                      <w:pStyle w:val="Addressinheader"/>
                      <w:rPr>
                        <w:color w:val="AC1D27"/>
                      </w:rPr>
                    </w:pPr>
                    <w:r w:rsidRPr="004B035C">
                      <w:rPr>
                        <w:color w:val="AC1D27"/>
                      </w:rPr>
                      <w:t>info@helpage.org</w:t>
                    </w:r>
                    <w:r w:rsidRPr="004B035C">
                      <w:rPr>
                        <w:color w:val="AC1D27"/>
                      </w:rPr>
                      <w:br/>
                      <w:t>www.helpage.org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96" w:rsidRDefault="005A1261" w:rsidP="00F12F5C">
    <w:pPr>
      <w:pStyle w:val="Header"/>
      <w:tabs>
        <w:tab w:val="clear" w:pos="4320"/>
        <w:tab w:val="clear" w:pos="8640"/>
        <w:tab w:val="left" w:pos="6880"/>
      </w:tabs>
      <w:ind w:firstLine="360"/>
      <w:jc w:val="right"/>
    </w:pPr>
    <w:r>
      <w:rPr>
        <w:noProof/>
        <w:lang w:eastAsia="en-GB"/>
      </w:rPr>
      <mc:AlternateContent>
        <mc:Choice Requires="wps">
          <w:drawing>
            <wp:anchor distT="0" distB="0" distL="114300" distR="114300" simplePos="0" relativeHeight="251658240" behindDoc="0" locked="0" layoutInCell="0" allowOverlap="1" wp14:anchorId="401D93D8" wp14:editId="49BDA0A8">
              <wp:simplePos x="0" y="0"/>
              <wp:positionH relativeFrom="page">
                <wp:posOffset>360045</wp:posOffset>
              </wp:positionH>
              <wp:positionV relativeFrom="page">
                <wp:posOffset>3780790</wp:posOffset>
              </wp:positionV>
              <wp:extent cx="12700" cy="0"/>
              <wp:effectExtent l="7620" t="8890" r="825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97.7pt" to="29.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" o:allowincell="f">
              <w10:wrap anchorx="page" anchory="page"/>
            </v:line>
          </w:pict>
        </mc:Fallback>
      </mc:AlternateContent>
    </w:r>
    <w:r w:rsidR="00F12F5C">
      <w:t>HelpAge PPA IPR Management Response Oct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5FAD"/>
    <w:multiLevelType w:val="hybridMultilevel"/>
    <w:tmpl w:val="619C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07594"/>
    <w:multiLevelType w:val="hybridMultilevel"/>
    <w:tmpl w:val="03A4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26ABE"/>
    <w:multiLevelType w:val="multilevel"/>
    <w:tmpl w:val="76F6351A"/>
    <w:lvl w:ilvl="0">
      <w:start w:val="1"/>
      <w:numFmt w:val="bullet"/>
      <w:lvlText w:val=""/>
      <w:lvlJc w:val="left"/>
      <w:pPr>
        <w:tabs>
          <w:tab w:val="num" w:pos="340"/>
        </w:tabs>
        <w:ind w:left="340" w:hanging="340"/>
      </w:pPr>
      <w:rPr>
        <w:rFonts w:ascii="Symbol" w:hAnsi="Symbol" w:hint="default"/>
        <w:color w:val="00CCFF"/>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2A519A3"/>
    <w:multiLevelType w:val="multilevel"/>
    <w:tmpl w:val="D77C3402"/>
    <w:lvl w:ilvl="0">
      <w:start w:val="1"/>
      <w:numFmt w:val="bullet"/>
      <w:lvlText w:val=""/>
      <w:lvlJc w:val="left"/>
      <w:pPr>
        <w:tabs>
          <w:tab w:val="num" w:pos="340"/>
        </w:tabs>
        <w:ind w:left="340" w:hanging="340"/>
      </w:pPr>
      <w:rPr>
        <w:rFonts w:ascii="Symbol" w:hAnsi="Symbol" w:hint="default"/>
        <w:color w:val="E84D3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C9315CE"/>
    <w:multiLevelType w:val="hybridMultilevel"/>
    <w:tmpl w:val="63D6817A"/>
    <w:lvl w:ilvl="0" w:tplc="C6680228">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684712"/>
    <w:multiLevelType w:val="hybridMultilevel"/>
    <w:tmpl w:val="5902F8B2"/>
    <w:lvl w:ilvl="0" w:tplc="E0325F6A">
      <w:start w:val="1"/>
      <w:numFmt w:val="bullet"/>
      <w:pStyle w:val="03Bullet"/>
      <w:lvlText w:val=""/>
      <w:lvlJc w:val="left"/>
      <w:pPr>
        <w:tabs>
          <w:tab w:val="num" w:pos="227"/>
        </w:tabs>
        <w:ind w:left="227" w:hanging="227"/>
      </w:pPr>
      <w:rPr>
        <w:rFonts w:ascii="Symbol" w:hAnsi="Symbol" w:hint="default"/>
        <w:color w:val="E84D3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6E"/>
    <w:rsid w:val="00046E67"/>
    <w:rsid w:val="000525E4"/>
    <w:rsid w:val="00053F4B"/>
    <w:rsid w:val="0005490F"/>
    <w:rsid w:val="0016188F"/>
    <w:rsid w:val="0020372E"/>
    <w:rsid w:val="00272F44"/>
    <w:rsid w:val="003A0BBB"/>
    <w:rsid w:val="004D15CD"/>
    <w:rsid w:val="004E4084"/>
    <w:rsid w:val="00517096"/>
    <w:rsid w:val="00595929"/>
    <w:rsid w:val="005A1261"/>
    <w:rsid w:val="005B6025"/>
    <w:rsid w:val="005D31A4"/>
    <w:rsid w:val="005E3FEF"/>
    <w:rsid w:val="0066316E"/>
    <w:rsid w:val="007403EA"/>
    <w:rsid w:val="00832D53"/>
    <w:rsid w:val="00834667"/>
    <w:rsid w:val="008462D7"/>
    <w:rsid w:val="00850ED3"/>
    <w:rsid w:val="00B228D0"/>
    <w:rsid w:val="00BA1955"/>
    <w:rsid w:val="00BF17B1"/>
    <w:rsid w:val="00CA555B"/>
    <w:rsid w:val="00D575D8"/>
    <w:rsid w:val="00DE5EBF"/>
    <w:rsid w:val="00E3729C"/>
    <w:rsid w:val="00E705EC"/>
    <w:rsid w:val="00F003D4"/>
    <w:rsid w:val="00F12F5C"/>
    <w:rsid w:val="00F97699"/>
    <w:rsid w:val="00FA4F96"/>
    <w:rsid w:val="00FB4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06C"/>
    <w:pPr>
      <w:spacing w:after="120"/>
    </w:pPr>
    <w:rPr>
      <w:rFonts w:ascii="Verdana" w:hAnsi="Verdana"/>
      <w:kern w:val="26"/>
      <w:szCs w:val="24"/>
      <w:lang w:eastAsia="en-US"/>
    </w:rPr>
  </w:style>
  <w:style w:type="paragraph" w:styleId="Heading1">
    <w:name w:val="heading 1"/>
    <w:aliases w:val="06 Heading 1"/>
    <w:basedOn w:val="Normal"/>
    <w:next w:val="Heading3"/>
    <w:autoRedefine/>
    <w:qFormat/>
    <w:rsid w:val="00AE506C"/>
    <w:pPr>
      <w:keepNext/>
      <w:spacing w:before="120"/>
      <w:outlineLvl w:val="0"/>
    </w:pPr>
    <w:rPr>
      <w:rFonts w:cs="Arial"/>
      <w:b/>
      <w:bCs/>
      <w:kern w:val="106"/>
      <w:szCs w:val="100"/>
    </w:rPr>
  </w:style>
  <w:style w:type="paragraph" w:styleId="Heading2">
    <w:name w:val="heading 2"/>
    <w:basedOn w:val="Normal"/>
    <w:next w:val="Normal"/>
    <w:autoRedefine/>
    <w:qFormat/>
    <w:rsid w:val="00AE506C"/>
    <w:pPr>
      <w:keepNext/>
      <w:spacing w:after="0"/>
      <w:outlineLvl w:val="1"/>
    </w:pPr>
    <w:rPr>
      <w:b/>
      <w:noProof/>
      <w:kern w:val="0"/>
      <w:szCs w:val="16"/>
      <w:lang w:eastAsia="en-GB"/>
    </w:rPr>
  </w:style>
  <w:style w:type="paragraph" w:styleId="Heading3">
    <w:name w:val="heading 3"/>
    <w:basedOn w:val="Normal"/>
    <w:next w:val="Normal"/>
    <w:autoRedefine/>
    <w:qFormat/>
    <w:rsid w:val="00AE506C"/>
    <w:pPr>
      <w:keepNext/>
      <w:spacing w:after="0"/>
      <w:outlineLvl w:val="2"/>
    </w:pPr>
    <w:rPr>
      <w:rFonts w:cs="Arial"/>
      <w:b/>
      <w:bCs/>
      <w:kern w:val="50"/>
      <w:szCs w:val="44"/>
    </w:rPr>
  </w:style>
  <w:style w:type="paragraph" w:styleId="Heading4">
    <w:name w:val="heading 4"/>
    <w:basedOn w:val="Normal"/>
    <w:next w:val="Normal"/>
    <w:qFormat/>
    <w:pPr>
      <w:keepNext/>
      <w:spacing w:after="200"/>
      <w:outlineLvl w:val="3"/>
    </w:pPr>
    <w:rPr>
      <w:bCs/>
      <w:color w:val="008000"/>
      <w:kern w:val="3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inheader">
    <w:name w:val="Address in header"/>
    <w:basedOn w:val="Normal"/>
    <w:rsid w:val="00667CDC"/>
    <w:pPr>
      <w:tabs>
        <w:tab w:val="left" w:pos="340"/>
      </w:tabs>
      <w:spacing w:line="200" w:lineRule="exact"/>
    </w:pPr>
    <w:rPr>
      <w:sz w:val="16"/>
      <w:lang w:bidi="en-US"/>
    </w:rPr>
  </w:style>
  <w:style w:type="character" w:styleId="CommentReference">
    <w:name w:val="annotation reference"/>
    <w:aliases w:val=" Char Char2"/>
    <w:basedOn w:val="DefaultParagraphFont"/>
    <w:semiHidden/>
    <w:rPr>
      <w:sz w:val="16"/>
      <w:szCs w:val="16"/>
    </w:rPr>
  </w:style>
  <w:style w:type="paragraph" w:styleId="Header">
    <w:name w:val="header"/>
    <w:basedOn w:val="Normal"/>
    <w:semiHidden/>
    <w:pPr>
      <w:tabs>
        <w:tab w:val="center" w:pos="4320"/>
        <w:tab w:val="right" w:pos="8640"/>
      </w:tabs>
    </w:pPr>
    <w:rPr>
      <w:rFonts w:ascii="Helvetica 55 Roman" w:hAnsi="Helvetica 55 Roman"/>
    </w:rPr>
  </w:style>
  <w:style w:type="paragraph" w:styleId="Footer">
    <w:name w:val="footer"/>
    <w:basedOn w:val="Normal"/>
    <w:link w:val="FooterChar"/>
    <w:uiPriority w:val="99"/>
    <w:pPr>
      <w:tabs>
        <w:tab w:val="center" w:pos="4320"/>
        <w:tab w:val="right" w:pos="8640"/>
      </w:tabs>
    </w:pPr>
    <w:rPr>
      <w:kern w:val="24"/>
      <w:szCs w:val="22"/>
    </w:rPr>
  </w:style>
  <w:style w:type="character" w:styleId="PageNumber">
    <w:name w:val="page number"/>
    <w:basedOn w:val="DefaultParagraphFont"/>
    <w:semiHidden/>
    <w:rPr>
      <w:rFonts w:ascii="Arial" w:hAnsi="Arial"/>
      <w:color w:val="auto"/>
      <w:sz w:val="16"/>
      <w:szCs w:val="16"/>
      <w:u w:val="none"/>
    </w:rPr>
  </w:style>
  <w:style w:type="paragraph" w:customStyle="1" w:styleId="BalloonText1">
    <w:name w:val="Balloon Text1"/>
    <w:aliases w:val=" Char Char1"/>
    <w:basedOn w:val="Normal"/>
    <w:semiHidden/>
    <w:rPr>
      <w:rFonts w:ascii="Tahoma" w:hAnsi="Tahoma" w:cs="Courier New"/>
      <w:sz w:val="16"/>
      <w:szCs w:val="16"/>
    </w:rPr>
  </w:style>
  <w:style w:type="paragraph" w:customStyle="1" w:styleId="00Addressbox">
    <w:name w:val="00 Address box"/>
    <w:basedOn w:val="Normal"/>
    <w:rsid w:val="00AE506C"/>
    <w:pPr>
      <w:spacing w:after="0"/>
    </w:pPr>
  </w:style>
  <w:style w:type="paragraph" w:customStyle="1" w:styleId="03Bullet">
    <w:name w:val="03 Bullet"/>
    <w:basedOn w:val="Normal"/>
    <w:autoRedefine/>
    <w:rsid w:val="00667CDC"/>
    <w:pPr>
      <w:numPr>
        <w:numId w:val="1"/>
      </w:numPr>
      <w:spacing w:line="240" w:lineRule="exact"/>
    </w:pPr>
  </w:style>
  <w:style w:type="paragraph" w:styleId="Caption">
    <w:name w:val="caption"/>
    <w:basedOn w:val="Normal"/>
    <w:next w:val="Normal"/>
    <w:qFormat/>
    <w:rPr>
      <w:b/>
      <w:bCs/>
      <w:szCs w:val="20"/>
    </w:rPr>
  </w:style>
  <w:style w:type="paragraph" w:customStyle="1" w:styleId="Cap1">
    <w:name w:val="Cap1"/>
    <w:basedOn w:val="Caption"/>
    <w:next w:val="Caption"/>
    <w:semiHidden/>
    <w:rPr>
      <w:b w:val="0"/>
      <w:kern w:val="32"/>
      <w:sz w:val="16"/>
    </w:rPr>
  </w:style>
  <w:style w:type="paragraph" w:customStyle="1" w:styleId="04CaptionBold">
    <w:name w:val="04 Caption Bold"/>
    <w:basedOn w:val="Normal"/>
    <w:next w:val="Normal"/>
    <w:autoRedefine/>
    <w:rsid w:val="00667CDC"/>
    <w:pPr>
      <w:spacing w:after="0" w:line="200" w:lineRule="exact"/>
    </w:pPr>
    <w:rPr>
      <w:b/>
      <w:color w:val="000000"/>
      <w:sz w:val="16"/>
    </w:rPr>
  </w:style>
  <w:style w:type="paragraph" w:customStyle="1" w:styleId="05CaptionNormal">
    <w:name w:val="05 Caption Normal"/>
    <w:basedOn w:val="Normal"/>
    <w:autoRedefine/>
    <w:rsid w:val="00667CDC"/>
    <w:pPr>
      <w:spacing w:after="100" w:line="200" w:lineRule="exact"/>
    </w:pPr>
    <w:rPr>
      <w:color w:val="000000"/>
      <w:sz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customStyle="1" w:styleId="Contents">
    <w:name w:val="Contents"/>
    <w:basedOn w:val="Heading2"/>
    <w:autoRedefine/>
    <w:semiHidden/>
    <w:pPr>
      <w:spacing w:after="360"/>
      <w:ind w:right="130"/>
    </w:pPr>
    <w:rPr>
      <w:rFonts w:ascii="Arial" w:hAnsi="Arial"/>
      <w:bCs/>
      <w:iCs/>
      <w:noProof w:val="0"/>
      <w:color w:val="003366"/>
      <w:kern w:val="60"/>
      <w:sz w:val="56"/>
      <w:szCs w:val="56"/>
      <w:lang w:eastAsia="en-US"/>
    </w:rPr>
  </w:style>
  <w:style w:type="paragraph" w:styleId="DocumentMap">
    <w:name w:val="Document Map"/>
    <w:basedOn w:val="Normal"/>
    <w:semiHidden/>
    <w:pPr>
      <w:shd w:val="clear" w:color="auto" w:fill="000080"/>
    </w:pPr>
    <w:rPr>
      <w:rFonts w:ascii="Tahoma" w:hAnsi="Tahoma" w:cs="Courier New"/>
      <w:szCs w:val="20"/>
    </w:rPr>
  </w:style>
  <w:style w:type="character" w:styleId="Hyperlink">
    <w:name w:val="Hyperlink"/>
    <w:basedOn w:val="DefaultParagraphFont"/>
    <w:semiHidden/>
    <w:rPr>
      <w:color w:val="0000FF"/>
      <w:u w:val="single"/>
    </w:rPr>
  </w:style>
  <w:style w:type="paragraph" w:customStyle="1" w:styleId="01TextBold">
    <w:name w:val="01 Text Bold"/>
    <w:basedOn w:val="Normal"/>
    <w:next w:val="Normal"/>
    <w:autoRedefine/>
    <w:rsid w:val="00AE506C"/>
    <w:rPr>
      <w:b/>
      <w:color w:val="000000"/>
    </w:rPr>
  </w:style>
  <w:style w:type="paragraph" w:customStyle="1" w:styleId="02Text">
    <w:name w:val="02 Text"/>
    <w:basedOn w:val="Normal"/>
    <w:autoRedefine/>
    <w:rsid w:val="00AE506C"/>
    <w:rPr>
      <w:color w:val="000000"/>
    </w:rPr>
  </w:style>
  <w:style w:type="paragraph" w:styleId="TOC1">
    <w:name w:val="toc 1"/>
    <w:basedOn w:val="Normal"/>
    <w:next w:val="Normal"/>
    <w:autoRedefine/>
    <w:semiHidden/>
  </w:style>
  <w:style w:type="paragraph" w:customStyle="1" w:styleId="Footerinformation">
    <w:name w:val="Footer information"/>
    <w:basedOn w:val="Normal"/>
    <w:rsid w:val="00FC3DB7"/>
    <w:pPr>
      <w:spacing w:after="60" w:line="140" w:lineRule="exact"/>
    </w:pPr>
    <w:rPr>
      <w:sz w:val="11"/>
    </w:rPr>
  </w:style>
  <w:style w:type="paragraph" w:customStyle="1" w:styleId="Footerinformationbold">
    <w:name w:val="Footer information bold"/>
    <w:basedOn w:val="Footerinformation"/>
    <w:rsid w:val="00667CDC"/>
    <w:rPr>
      <w:b/>
    </w:rPr>
  </w:style>
  <w:style w:type="paragraph" w:styleId="BalloonText">
    <w:name w:val="Balloon Text"/>
    <w:basedOn w:val="Normal"/>
    <w:link w:val="BalloonTextChar"/>
    <w:rsid w:val="005A1261"/>
    <w:pPr>
      <w:spacing w:after="0"/>
    </w:pPr>
    <w:rPr>
      <w:rFonts w:ascii="Tahoma" w:hAnsi="Tahoma" w:cs="Tahoma"/>
      <w:sz w:val="16"/>
      <w:szCs w:val="16"/>
    </w:rPr>
  </w:style>
  <w:style w:type="character" w:customStyle="1" w:styleId="BalloonTextChar">
    <w:name w:val="Balloon Text Char"/>
    <w:basedOn w:val="DefaultParagraphFont"/>
    <w:link w:val="BalloonText"/>
    <w:rsid w:val="005A1261"/>
    <w:rPr>
      <w:rFonts w:ascii="Tahoma" w:hAnsi="Tahoma" w:cs="Tahoma"/>
      <w:kern w:val="26"/>
      <w:sz w:val="16"/>
      <w:szCs w:val="16"/>
      <w:lang w:eastAsia="en-US"/>
    </w:rPr>
  </w:style>
  <w:style w:type="table" w:styleId="TableGrid">
    <w:name w:val="Table Grid"/>
    <w:basedOn w:val="TableNormal"/>
    <w:rsid w:val="005A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462D7"/>
    <w:rPr>
      <w:rFonts w:ascii="Verdana" w:hAnsi="Verdana"/>
      <w:kern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06C"/>
    <w:pPr>
      <w:spacing w:after="120"/>
    </w:pPr>
    <w:rPr>
      <w:rFonts w:ascii="Verdana" w:hAnsi="Verdana"/>
      <w:kern w:val="26"/>
      <w:szCs w:val="24"/>
      <w:lang w:eastAsia="en-US"/>
    </w:rPr>
  </w:style>
  <w:style w:type="paragraph" w:styleId="Heading1">
    <w:name w:val="heading 1"/>
    <w:aliases w:val="06 Heading 1"/>
    <w:basedOn w:val="Normal"/>
    <w:next w:val="Heading3"/>
    <w:autoRedefine/>
    <w:qFormat/>
    <w:rsid w:val="00AE506C"/>
    <w:pPr>
      <w:keepNext/>
      <w:spacing w:before="120"/>
      <w:outlineLvl w:val="0"/>
    </w:pPr>
    <w:rPr>
      <w:rFonts w:cs="Arial"/>
      <w:b/>
      <w:bCs/>
      <w:kern w:val="106"/>
      <w:szCs w:val="100"/>
    </w:rPr>
  </w:style>
  <w:style w:type="paragraph" w:styleId="Heading2">
    <w:name w:val="heading 2"/>
    <w:basedOn w:val="Normal"/>
    <w:next w:val="Normal"/>
    <w:autoRedefine/>
    <w:qFormat/>
    <w:rsid w:val="00AE506C"/>
    <w:pPr>
      <w:keepNext/>
      <w:spacing w:after="0"/>
      <w:outlineLvl w:val="1"/>
    </w:pPr>
    <w:rPr>
      <w:b/>
      <w:noProof/>
      <w:kern w:val="0"/>
      <w:szCs w:val="16"/>
      <w:lang w:eastAsia="en-GB"/>
    </w:rPr>
  </w:style>
  <w:style w:type="paragraph" w:styleId="Heading3">
    <w:name w:val="heading 3"/>
    <w:basedOn w:val="Normal"/>
    <w:next w:val="Normal"/>
    <w:autoRedefine/>
    <w:qFormat/>
    <w:rsid w:val="00AE506C"/>
    <w:pPr>
      <w:keepNext/>
      <w:spacing w:after="0"/>
      <w:outlineLvl w:val="2"/>
    </w:pPr>
    <w:rPr>
      <w:rFonts w:cs="Arial"/>
      <w:b/>
      <w:bCs/>
      <w:kern w:val="50"/>
      <w:szCs w:val="44"/>
    </w:rPr>
  </w:style>
  <w:style w:type="paragraph" w:styleId="Heading4">
    <w:name w:val="heading 4"/>
    <w:basedOn w:val="Normal"/>
    <w:next w:val="Normal"/>
    <w:qFormat/>
    <w:pPr>
      <w:keepNext/>
      <w:spacing w:after="200"/>
      <w:outlineLvl w:val="3"/>
    </w:pPr>
    <w:rPr>
      <w:bCs/>
      <w:color w:val="008000"/>
      <w:kern w:val="3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inheader">
    <w:name w:val="Address in header"/>
    <w:basedOn w:val="Normal"/>
    <w:rsid w:val="00667CDC"/>
    <w:pPr>
      <w:tabs>
        <w:tab w:val="left" w:pos="340"/>
      </w:tabs>
      <w:spacing w:line="200" w:lineRule="exact"/>
    </w:pPr>
    <w:rPr>
      <w:sz w:val="16"/>
      <w:lang w:bidi="en-US"/>
    </w:rPr>
  </w:style>
  <w:style w:type="character" w:styleId="CommentReference">
    <w:name w:val="annotation reference"/>
    <w:aliases w:val=" Char Char2"/>
    <w:basedOn w:val="DefaultParagraphFont"/>
    <w:semiHidden/>
    <w:rPr>
      <w:sz w:val="16"/>
      <w:szCs w:val="16"/>
    </w:rPr>
  </w:style>
  <w:style w:type="paragraph" w:styleId="Header">
    <w:name w:val="header"/>
    <w:basedOn w:val="Normal"/>
    <w:semiHidden/>
    <w:pPr>
      <w:tabs>
        <w:tab w:val="center" w:pos="4320"/>
        <w:tab w:val="right" w:pos="8640"/>
      </w:tabs>
    </w:pPr>
    <w:rPr>
      <w:rFonts w:ascii="Helvetica 55 Roman" w:hAnsi="Helvetica 55 Roman"/>
    </w:rPr>
  </w:style>
  <w:style w:type="paragraph" w:styleId="Footer">
    <w:name w:val="footer"/>
    <w:basedOn w:val="Normal"/>
    <w:link w:val="FooterChar"/>
    <w:uiPriority w:val="99"/>
    <w:pPr>
      <w:tabs>
        <w:tab w:val="center" w:pos="4320"/>
        <w:tab w:val="right" w:pos="8640"/>
      </w:tabs>
    </w:pPr>
    <w:rPr>
      <w:kern w:val="24"/>
      <w:szCs w:val="22"/>
    </w:rPr>
  </w:style>
  <w:style w:type="character" w:styleId="PageNumber">
    <w:name w:val="page number"/>
    <w:basedOn w:val="DefaultParagraphFont"/>
    <w:semiHidden/>
    <w:rPr>
      <w:rFonts w:ascii="Arial" w:hAnsi="Arial"/>
      <w:color w:val="auto"/>
      <w:sz w:val="16"/>
      <w:szCs w:val="16"/>
      <w:u w:val="none"/>
    </w:rPr>
  </w:style>
  <w:style w:type="paragraph" w:customStyle="1" w:styleId="BalloonText1">
    <w:name w:val="Balloon Text1"/>
    <w:aliases w:val=" Char Char1"/>
    <w:basedOn w:val="Normal"/>
    <w:semiHidden/>
    <w:rPr>
      <w:rFonts w:ascii="Tahoma" w:hAnsi="Tahoma" w:cs="Courier New"/>
      <w:sz w:val="16"/>
      <w:szCs w:val="16"/>
    </w:rPr>
  </w:style>
  <w:style w:type="paragraph" w:customStyle="1" w:styleId="00Addressbox">
    <w:name w:val="00 Address box"/>
    <w:basedOn w:val="Normal"/>
    <w:rsid w:val="00AE506C"/>
    <w:pPr>
      <w:spacing w:after="0"/>
    </w:pPr>
  </w:style>
  <w:style w:type="paragraph" w:customStyle="1" w:styleId="03Bullet">
    <w:name w:val="03 Bullet"/>
    <w:basedOn w:val="Normal"/>
    <w:autoRedefine/>
    <w:rsid w:val="00667CDC"/>
    <w:pPr>
      <w:numPr>
        <w:numId w:val="1"/>
      </w:numPr>
      <w:spacing w:line="240" w:lineRule="exact"/>
    </w:pPr>
  </w:style>
  <w:style w:type="paragraph" w:styleId="Caption">
    <w:name w:val="caption"/>
    <w:basedOn w:val="Normal"/>
    <w:next w:val="Normal"/>
    <w:qFormat/>
    <w:rPr>
      <w:b/>
      <w:bCs/>
      <w:szCs w:val="20"/>
    </w:rPr>
  </w:style>
  <w:style w:type="paragraph" w:customStyle="1" w:styleId="Cap1">
    <w:name w:val="Cap1"/>
    <w:basedOn w:val="Caption"/>
    <w:next w:val="Caption"/>
    <w:semiHidden/>
    <w:rPr>
      <w:b w:val="0"/>
      <w:kern w:val="32"/>
      <w:sz w:val="16"/>
    </w:rPr>
  </w:style>
  <w:style w:type="paragraph" w:customStyle="1" w:styleId="04CaptionBold">
    <w:name w:val="04 Caption Bold"/>
    <w:basedOn w:val="Normal"/>
    <w:next w:val="Normal"/>
    <w:autoRedefine/>
    <w:rsid w:val="00667CDC"/>
    <w:pPr>
      <w:spacing w:after="0" w:line="200" w:lineRule="exact"/>
    </w:pPr>
    <w:rPr>
      <w:b/>
      <w:color w:val="000000"/>
      <w:sz w:val="16"/>
    </w:rPr>
  </w:style>
  <w:style w:type="paragraph" w:customStyle="1" w:styleId="05CaptionNormal">
    <w:name w:val="05 Caption Normal"/>
    <w:basedOn w:val="Normal"/>
    <w:autoRedefine/>
    <w:rsid w:val="00667CDC"/>
    <w:pPr>
      <w:spacing w:after="100" w:line="200" w:lineRule="exact"/>
    </w:pPr>
    <w:rPr>
      <w:color w:val="000000"/>
      <w:sz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customStyle="1" w:styleId="Contents">
    <w:name w:val="Contents"/>
    <w:basedOn w:val="Heading2"/>
    <w:autoRedefine/>
    <w:semiHidden/>
    <w:pPr>
      <w:spacing w:after="360"/>
      <w:ind w:right="130"/>
    </w:pPr>
    <w:rPr>
      <w:rFonts w:ascii="Arial" w:hAnsi="Arial"/>
      <w:bCs/>
      <w:iCs/>
      <w:noProof w:val="0"/>
      <w:color w:val="003366"/>
      <w:kern w:val="60"/>
      <w:sz w:val="56"/>
      <w:szCs w:val="56"/>
      <w:lang w:eastAsia="en-US"/>
    </w:rPr>
  </w:style>
  <w:style w:type="paragraph" w:styleId="DocumentMap">
    <w:name w:val="Document Map"/>
    <w:basedOn w:val="Normal"/>
    <w:semiHidden/>
    <w:pPr>
      <w:shd w:val="clear" w:color="auto" w:fill="000080"/>
    </w:pPr>
    <w:rPr>
      <w:rFonts w:ascii="Tahoma" w:hAnsi="Tahoma" w:cs="Courier New"/>
      <w:szCs w:val="20"/>
    </w:rPr>
  </w:style>
  <w:style w:type="character" w:styleId="Hyperlink">
    <w:name w:val="Hyperlink"/>
    <w:basedOn w:val="DefaultParagraphFont"/>
    <w:semiHidden/>
    <w:rPr>
      <w:color w:val="0000FF"/>
      <w:u w:val="single"/>
    </w:rPr>
  </w:style>
  <w:style w:type="paragraph" w:customStyle="1" w:styleId="01TextBold">
    <w:name w:val="01 Text Bold"/>
    <w:basedOn w:val="Normal"/>
    <w:next w:val="Normal"/>
    <w:autoRedefine/>
    <w:rsid w:val="00AE506C"/>
    <w:rPr>
      <w:b/>
      <w:color w:val="000000"/>
    </w:rPr>
  </w:style>
  <w:style w:type="paragraph" w:customStyle="1" w:styleId="02Text">
    <w:name w:val="02 Text"/>
    <w:basedOn w:val="Normal"/>
    <w:autoRedefine/>
    <w:rsid w:val="00AE506C"/>
    <w:rPr>
      <w:color w:val="000000"/>
    </w:rPr>
  </w:style>
  <w:style w:type="paragraph" w:styleId="TOC1">
    <w:name w:val="toc 1"/>
    <w:basedOn w:val="Normal"/>
    <w:next w:val="Normal"/>
    <w:autoRedefine/>
    <w:semiHidden/>
  </w:style>
  <w:style w:type="paragraph" w:customStyle="1" w:styleId="Footerinformation">
    <w:name w:val="Footer information"/>
    <w:basedOn w:val="Normal"/>
    <w:rsid w:val="00FC3DB7"/>
    <w:pPr>
      <w:spacing w:after="60" w:line="140" w:lineRule="exact"/>
    </w:pPr>
    <w:rPr>
      <w:sz w:val="11"/>
    </w:rPr>
  </w:style>
  <w:style w:type="paragraph" w:customStyle="1" w:styleId="Footerinformationbold">
    <w:name w:val="Footer information bold"/>
    <w:basedOn w:val="Footerinformation"/>
    <w:rsid w:val="00667CDC"/>
    <w:rPr>
      <w:b/>
    </w:rPr>
  </w:style>
  <w:style w:type="paragraph" w:styleId="BalloonText">
    <w:name w:val="Balloon Text"/>
    <w:basedOn w:val="Normal"/>
    <w:link w:val="BalloonTextChar"/>
    <w:rsid w:val="005A1261"/>
    <w:pPr>
      <w:spacing w:after="0"/>
    </w:pPr>
    <w:rPr>
      <w:rFonts w:ascii="Tahoma" w:hAnsi="Tahoma" w:cs="Tahoma"/>
      <w:sz w:val="16"/>
      <w:szCs w:val="16"/>
    </w:rPr>
  </w:style>
  <w:style w:type="character" w:customStyle="1" w:styleId="BalloonTextChar">
    <w:name w:val="Balloon Text Char"/>
    <w:basedOn w:val="DefaultParagraphFont"/>
    <w:link w:val="BalloonText"/>
    <w:rsid w:val="005A1261"/>
    <w:rPr>
      <w:rFonts w:ascii="Tahoma" w:hAnsi="Tahoma" w:cs="Tahoma"/>
      <w:kern w:val="26"/>
      <w:sz w:val="16"/>
      <w:szCs w:val="16"/>
      <w:lang w:eastAsia="en-US"/>
    </w:rPr>
  </w:style>
  <w:style w:type="table" w:styleId="TableGrid">
    <w:name w:val="Table Grid"/>
    <w:basedOn w:val="TableNormal"/>
    <w:rsid w:val="005A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462D7"/>
    <w:rPr>
      <w:rFonts w:ascii="Verdana" w:hAnsi="Verdana"/>
      <w:kern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10379">
      <w:bodyDiv w:val="1"/>
      <w:marLeft w:val="0"/>
      <w:marRight w:val="0"/>
      <w:marTop w:val="0"/>
      <w:marBottom w:val="0"/>
      <w:divBdr>
        <w:top w:val="none" w:sz="0" w:space="0" w:color="auto"/>
        <w:left w:val="none" w:sz="0" w:space="0" w:color="auto"/>
        <w:bottom w:val="none" w:sz="0" w:space="0" w:color="auto"/>
        <w:right w:val="none" w:sz="0" w:space="0" w:color="auto"/>
      </w:divBdr>
    </w:div>
    <w:div w:id="1892494935">
      <w:bodyDiv w:val="1"/>
      <w:marLeft w:val="0"/>
      <w:marRight w:val="0"/>
      <w:marTop w:val="0"/>
      <w:marBottom w:val="0"/>
      <w:divBdr>
        <w:top w:val="none" w:sz="0" w:space="0" w:color="auto"/>
        <w:left w:val="none" w:sz="0" w:space="0" w:color="auto"/>
        <w:bottom w:val="none" w:sz="0" w:space="0" w:color="auto"/>
        <w:right w:val="none" w:sz="0" w:space="0" w:color="auto"/>
      </w:divBdr>
    </w:div>
    <w:div w:id="201329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maharaj\LOCALS~1\Temp\Rar$DI11.013\HelpAge-letter%20and%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HelpAge-letter and logo</Template>
  <TotalTime>1</TotalTime>
  <Pages>3</Pages>
  <Words>919</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HelpAge letter draft</vt:lpstr>
    </vt:vector>
  </TitlesOfParts>
  <Manager/>
  <Company>TRUE</Company>
  <LinksUpToDate>false</LinksUpToDate>
  <CharactersWithSpaces>5803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HelpAge letter draft</dc:title>
  <dc:subject/>
  <dc:creator>Ansuyah Maharaj</dc:creator>
  <cp:keywords/>
  <dc:description/>
  <cp:lastModifiedBy>Alex Bush</cp:lastModifiedBy>
  <cp:revision>2</cp:revision>
  <cp:lastPrinted>2008-11-13T09:50:00Z</cp:lastPrinted>
  <dcterms:created xsi:type="dcterms:W3CDTF">2012-10-15T07:00:00Z</dcterms:created>
  <dcterms:modified xsi:type="dcterms:W3CDTF">2012-10-15T07:00:00Z</dcterms:modified>
  <cp:category/>
</cp:coreProperties>
</file>