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6A" w:rsidRPr="00DA0FE6" w:rsidRDefault="0092536A" w:rsidP="001C72C4">
      <w:pPr>
        <w:pStyle w:val="Title"/>
      </w:pPr>
      <w:r w:rsidRPr="00DA0FE6">
        <w:t xml:space="preserve">Learning from evaluations at </w:t>
      </w:r>
      <w:proofErr w:type="spellStart"/>
      <w:r w:rsidRPr="00DA0FE6">
        <w:t>HelpAge</w:t>
      </w:r>
      <w:proofErr w:type="spellEnd"/>
      <w:r w:rsidRPr="00DA0FE6">
        <w:t xml:space="preserve"> International in 2012</w:t>
      </w:r>
    </w:p>
    <w:p w:rsidR="0092536A" w:rsidRDefault="0092536A"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
    <w:p w:rsidR="00DF135F" w:rsidRDefault="00E768C4"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r>
        <w:rPr>
          <w:rFonts w:ascii="Times New Roman" w:hAnsi="Times New Roman"/>
          <w:sz w:val="22"/>
          <w:szCs w:val="22"/>
          <w:lang w:val="en-GB"/>
        </w:rPr>
        <w:t>Sixteen</w:t>
      </w:r>
      <w:r w:rsidR="0092536A">
        <w:rPr>
          <w:rFonts w:ascii="Times New Roman" w:hAnsi="Times New Roman"/>
          <w:sz w:val="22"/>
          <w:szCs w:val="22"/>
          <w:lang w:val="en-GB"/>
        </w:rPr>
        <w:t xml:space="preserve"> </w:t>
      </w:r>
      <w:r w:rsidR="0092536A" w:rsidRPr="0092536A">
        <w:rPr>
          <w:rFonts w:ascii="Times New Roman" w:hAnsi="Times New Roman"/>
          <w:sz w:val="22"/>
          <w:szCs w:val="22"/>
          <w:lang w:val="en-GB"/>
        </w:rPr>
        <w:t xml:space="preserve">evaluations were conducted at </w:t>
      </w:r>
      <w:proofErr w:type="spellStart"/>
      <w:r w:rsidR="0092536A" w:rsidRPr="0092536A">
        <w:rPr>
          <w:rFonts w:ascii="Times New Roman" w:hAnsi="Times New Roman"/>
          <w:sz w:val="22"/>
          <w:szCs w:val="22"/>
          <w:lang w:val="en-GB"/>
        </w:rPr>
        <w:t>HelpAge</w:t>
      </w:r>
      <w:proofErr w:type="spellEnd"/>
      <w:r w:rsidR="0092536A" w:rsidRPr="0092536A">
        <w:rPr>
          <w:rFonts w:ascii="Times New Roman" w:hAnsi="Times New Roman"/>
          <w:sz w:val="22"/>
          <w:szCs w:val="22"/>
          <w:lang w:val="en-GB"/>
        </w:rPr>
        <w:t xml:space="preserve"> International in 2012.  </w:t>
      </w:r>
      <w:r>
        <w:rPr>
          <w:rFonts w:ascii="Times New Roman" w:hAnsi="Times New Roman"/>
          <w:sz w:val="22"/>
          <w:szCs w:val="22"/>
          <w:lang w:val="en-GB"/>
        </w:rPr>
        <w:t>Three</w:t>
      </w:r>
      <w:r w:rsidR="0092536A" w:rsidRPr="0092536A">
        <w:rPr>
          <w:rFonts w:ascii="Times New Roman" w:hAnsi="Times New Roman"/>
          <w:sz w:val="22"/>
          <w:szCs w:val="22"/>
          <w:lang w:val="en-GB"/>
        </w:rPr>
        <w:t xml:space="preserve"> of these evaluations had a global focus, drawing the lessons learned from</w:t>
      </w:r>
      <w:r w:rsidR="0092536A">
        <w:rPr>
          <w:rFonts w:ascii="Times New Roman" w:hAnsi="Times New Roman"/>
          <w:sz w:val="22"/>
          <w:szCs w:val="22"/>
          <w:lang w:val="en-GB"/>
        </w:rPr>
        <w:t xml:space="preserve"> </w:t>
      </w:r>
      <w:proofErr w:type="spellStart"/>
      <w:r w:rsidR="0092536A">
        <w:rPr>
          <w:rFonts w:ascii="Times New Roman" w:hAnsi="Times New Roman"/>
          <w:sz w:val="22"/>
          <w:szCs w:val="22"/>
          <w:lang w:val="en-GB"/>
        </w:rPr>
        <w:t>HelpAge</w:t>
      </w:r>
      <w:proofErr w:type="spellEnd"/>
      <w:r w:rsidR="0092536A">
        <w:rPr>
          <w:rFonts w:ascii="Times New Roman" w:hAnsi="Times New Roman"/>
          <w:sz w:val="22"/>
          <w:szCs w:val="22"/>
          <w:lang w:val="en-GB"/>
        </w:rPr>
        <w:t xml:space="preserve"> global approach (Independent progress review</w:t>
      </w:r>
      <w:r>
        <w:rPr>
          <w:rFonts w:ascii="Times New Roman" w:hAnsi="Times New Roman"/>
          <w:sz w:val="22"/>
          <w:szCs w:val="22"/>
          <w:lang w:val="en-GB"/>
        </w:rPr>
        <w:t>, annual review</w:t>
      </w:r>
      <w:r w:rsidR="0092536A">
        <w:rPr>
          <w:rFonts w:ascii="Times New Roman" w:hAnsi="Times New Roman"/>
          <w:sz w:val="22"/>
          <w:szCs w:val="22"/>
          <w:lang w:val="en-GB"/>
        </w:rPr>
        <w:t xml:space="preserve">) </w:t>
      </w:r>
      <w:r w:rsidR="005C5C66">
        <w:rPr>
          <w:rFonts w:ascii="Times New Roman" w:hAnsi="Times New Roman"/>
          <w:sz w:val="22"/>
          <w:szCs w:val="22"/>
          <w:lang w:val="en-GB"/>
        </w:rPr>
        <w:t>and</w:t>
      </w:r>
      <w:r w:rsidR="0092536A">
        <w:rPr>
          <w:rFonts w:ascii="Times New Roman" w:hAnsi="Times New Roman"/>
          <w:sz w:val="22"/>
          <w:szCs w:val="22"/>
          <w:lang w:val="en-GB"/>
        </w:rPr>
        <w:t xml:space="preserve"> the impact of </w:t>
      </w:r>
      <w:r w:rsidR="001B5525">
        <w:rPr>
          <w:rFonts w:ascii="Times New Roman" w:hAnsi="Times New Roman"/>
          <w:sz w:val="22"/>
          <w:szCs w:val="22"/>
          <w:lang w:val="en-GB"/>
        </w:rPr>
        <w:t>the</w:t>
      </w:r>
      <w:r w:rsidR="0092536A">
        <w:rPr>
          <w:rFonts w:ascii="Times New Roman" w:hAnsi="Times New Roman"/>
          <w:sz w:val="22"/>
          <w:szCs w:val="22"/>
          <w:lang w:val="en-GB"/>
        </w:rPr>
        <w:t xml:space="preserve"> Age Demands Action (ADA) campaign. </w:t>
      </w:r>
      <w:r w:rsidR="00DF135F">
        <w:rPr>
          <w:rFonts w:ascii="Times New Roman" w:hAnsi="Times New Roman"/>
          <w:sz w:val="22"/>
          <w:szCs w:val="22"/>
          <w:lang w:val="en-GB"/>
        </w:rPr>
        <w:t>Countries specific evaluations assessed the effectiveness and impact of emergency response (Kenya and Ethiopia); livelihoods programmes (India, Pakistan, Myanmar</w:t>
      </w:r>
      <w:r w:rsidR="001C72C4">
        <w:rPr>
          <w:rFonts w:ascii="Times New Roman" w:hAnsi="Times New Roman"/>
          <w:sz w:val="22"/>
          <w:szCs w:val="22"/>
          <w:lang w:val="en-GB"/>
        </w:rPr>
        <w:t xml:space="preserve">, Mozambique </w:t>
      </w:r>
      <w:r w:rsidR="00DF135F">
        <w:rPr>
          <w:rFonts w:ascii="Times New Roman" w:hAnsi="Times New Roman"/>
          <w:sz w:val="22"/>
          <w:szCs w:val="22"/>
          <w:lang w:val="en-GB"/>
        </w:rPr>
        <w:t>and Tanzania), and Rights (</w:t>
      </w:r>
      <w:r w:rsidR="00DF135F" w:rsidRPr="00DF135F">
        <w:rPr>
          <w:rFonts w:ascii="Times New Roman" w:hAnsi="Times New Roman"/>
          <w:sz w:val="22"/>
          <w:szCs w:val="22"/>
          <w:lang w:val="en-GB"/>
        </w:rPr>
        <w:t>Kyrgyz Republic</w:t>
      </w:r>
      <w:r>
        <w:rPr>
          <w:rFonts w:ascii="Times New Roman" w:hAnsi="Times New Roman"/>
          <w:sz w:val="22"/>
          <w:szCs w:val="22"/>
          <w:lang w:val="en-GB"/>
        </w:rPr>
        <w:t xml:space="preserve"> and Tanzania</w:t>
      </w:r>
      <w:r w:rsidR="00DF135F">
        <w:rPr>
          <w:rFonts w:ascii="Times New Roman" w:hAnsi="Times New Roman"/>
          <w:sz w:val="22"/>
          <w:szCs w:val="22"/>
          <w:lang w:val="en-GB"/>
        </w:rPr>
        <w:t xml:space="preserve">). </w:t>
      </w:r>
    </w:p>
    <w:p w:rsidR="00CD4308" w:rsidRPr="00341927" w:rsidRDefault="00DF135F" w:rsidP="001C72C4">
      <w:pPr>
        <w:pStyle w:val="Heading1"/>
      </w:pPr>
      <w:r>
        <w:rPr>
          <w:rFonts w:ascii="Times New Roman" w:hAnsi="Times New Roman"/>
          <w:sz w:val="22"/>
          <w:szCs w:val="22"/>
        </w:rPr>
        <w:t xml:space="preserve"> </w:t>
      </w:r>
      <w:proofErr w:type="spellStart"/>
      <w:r w:rsidR="0072610D">
        <w:t>HelpAge</w:t>
      </w:r>
      <w:proofErr w:type="spellEnd"/>
      <w:r w:rsidR="0072610D">
        <w:t xml:space="preserve"> International Independent progress review </w:t>
      </w:r>
      <w:r w:rsidR="00CD4308" w:rsidRPr="00341927">
        <w:t>2012</w:t>
      </w:r>
    </w:p>
    <w:p w:rsidR="00CD4308" w:rsidRPr="00341927" w:rsidRDefault="00CD4308"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p>
    <w:p w:rsidR="00BB6E2A" w:rsidRPr="00341927" w:rsidRDefault="0046315F"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r>
        <w:rPr>
          <w:rFonts w:ascii="Times New Roman" w:hAnsi="Times New Roman"/>
          <w:sz w:val="22"/>
          <w:szCs w:val="22"/>
          <w:lang w:val="en-GB"/>
        </w:rPr>
        <w:t xml:space="preserve">The </w:t>
      </w:r>
      <w:r w:rsidR="006B0E7B">
        <w:rPr>
          <w:rFonts w:ascii="Times New Roman" w:hAnsi="Times New Roman"/>
          <w:sz w:val="22"/>
          <w:szCs w:val="22"/>
          <w:lang w:val="en-GB"/>
        </w:rPr>
        <w:t xml:space="preserve">2012 </w:t>
      </w:r>
      <w:r w:rsidR="00DF135F">
        <w:rPr>
          <w:rFonts w:ascii="Times New Roman" w:hAnsi="Times New Roman"/>
          <w:sz w:val="22"/>
          <w:szCs w:val="22"/>
          <w:lang w:val="en-GB"/>
        </w:rPr>
        <w:t>Independent Progress Review (IPR)</w:t>
      </w:r>
      <w:r w:rsidR="00CB3C3D" w:rsidRPr="00341927">
        <w:rPr>
          <w:rFonts w:ascii="Times New Roman" w:hAnsi="Times New Roman"/>
          <w:sz w:val="22"/>
          <w:szCs w:val="22"/>
          <w:lang w:val="en-GB"/>
        </w:rPr>
        <w:t xml:space="preserve"> </w:t>
      </w:r>
      <w:r w:rsidR="00DF135F" w:rsidRPr="00341927">
        <w:rPr>
          <w:rFonts w:ascii="Times New Roman" w:hAnsi="Times New Roman"/>
          <w:sz w:val="22"/>
          <w:szCs w:val="22"/>
        </w:rPr>
        <w:t>concluded</w:t>
      </w:r>
      <w:r w:rsidR="00BB6E2A" w:rsidRPr="00341927">
        <w:rPr>
          <w:rFonts w:ascii="Times New Roman" w:hAnsi="Times New Roman"/>
          <w:sz w:val="22"/>
          <w:szCs w:val="22"/>
        </w:rPr>
        <w:t xml:space="preserve"> that </w:t>
      </w:r>
      <w:proofErr w:type="spellStart"/>
      <w:r w:rsidR="00BB6E2A" w:rsidRPr="00341927">
        <w:rPr>
          <w:rFonts w:ascii="Times New Roman" w:hAnsi="Times New Roman"/>
          <w:sz w:val="22"/>
          <w:szCs w:val="22"/>
        </w:rPr>
        <w:t>HelpAge</w:t>
      </w:r>
      <w:proofErr w:type="spellEnd"/>
      <w:r w:rsidR="00BB6E2A" w:rsidRPr="00341927">
        <w:rPr>
          <w:rFonts w:ascii="Times New Roman" w:hAnsi="Times New Roman"/>
          <w:sz w:val="22"/>
          <w:szCs w:val="22"/>
        </w:rPr>
        <w:t xml:space="preserve"> </w:t>
      </w:r>
      <w:r w:rsidR="00CB3C3D" w:rsidRPr="00341927">
        <w:rPr>
          <w:rFonts w:ascii="Times New Roman" w:hAnsi="Times New Roman"/>
          <w:sz w:val="22"/>
          <w:szCs w:val="22"/>
          <w:lang w:val="en-GB"/>
        </w:rPr>
        <w:t>was</w:t>
      </w:r>
      <w:r w:rsidR="00BB6E2A" w:rsidRPr="00341927">
        <w:rPr>
          <w:rFonts w:ascii="Times New Roman" w:hAnsi="Times New Roman"/>
          <w:sz w:val="22"/>
          <w:szCs w:val="22"/>
        </w:rPr>
        <w:t xml:space="preserve"> being strategic in </w:t>
      </w:r>
      <w:r w:rsidR="00CB3C3D" w:rsidRPr="00341927">
        <w:rPr>
          <w:rFonts w:ascii="Times New Roman" w:hAnsi="Times New Roman"/>
          <w:sz w:val="22"/>
          <w:szCs w:val="22"/>
          <w:lang w:val="en-GB"/>
        </w:rPr>
        <w:t>its</w:t>
      </w:r>
      <w:r w:rsidR="00BB6E2A" w:rsidRPr="00341927">
        <w:rPr>
          <w:rFonts w:ascii="Times New Roman" w:hAnsi="Times New Roman"/>
          <w:sz w:val="22"/>
          <w:szCs w:val="22"/>
        </w:rPr>
        <w:t xml:space="preserve"> choices regarding</w:t>
      </w:r>
      <w:r>
        <w:rPr>
          <w:rFonts w:ascii="Times New Roman" w:hAnsi="Times New Roman"/>
          <w:sz w:val="22"/>
          <w:szCs w:val="22"/>
          <w:lang w:val="en-GB"/>
        </w:rPr>
        <w:t xml:space="preserve"> the </w:t>
      </w:r>
      <w:r w:rsidR="00BB6E2A" w:rsidRPr="00341927">
        <w:rPr>
          <w:rFonts w:ascii="Times New Roman" w:hAnsi="Times New Roman"/>
          <w:sz w:val="22"/>
          <w:szCs w:val="22"/>
        </w:rPr>
        <w:t xml:space="preserve">use of PPA and other unrestricted funding. The availability of this unrestricted funding is what helps the organisation </w:t>
      </w:r>
      <w:r w:rsidR="00CB3C3D" w:rsidRPr="00341927">
        <w:rPr>
          <w:rFonts w:ascii="Times New Roman" w:hAnsi="Times New Roman"/>
          <w:sz w:val="22"/>
          <w:szCs w:val="22"/>
        </w:rPr>
        <w:t>take a learning approach</w:t>
      </w:r>
      <w:r w:rsidR="00CB3C3D" w:rsidRPr="00341927">
        <w:rPr>
          <w:rFonts w:ascii="Times New Roman" w:hAnsi="Times New Roman"/>
          <w:sz w:val="22"/>
          <w:szCs w:val="22"/>
          <w:lang w:val="en-GB"/>
        </w:rPr>
        <w:t>,</w:t>
      </w:r>
      <w:r w:rsidR="00BB6E2A" w:rsidRPr="00341927">
        <w:rPr>
          <w:rFonts w:ascii="Times New Roman" w:hAnsi="Times New Roman"/>
          <w:sz w:val="22"/>
          <w:szCs w:val="22"/>
        </w:rPr>
        <w:t xml:space="preserve"> be innovative</w:t>
      </w:r>
      <w:r w:rsidR="00CB3C3D" w:rsidRPr="00341927">
        <w:rPr>
          <w:rFonts w:ascii="Times New Roman" w:hAnsi="Times New Roman"/>
          <w:sz w:val="22"/>
          <w:szCs w:val="22"/>
          <w:lang w:val="en-GB"/>
        </w:rPr>
        <w:t>,</w:t>
      </w:r>
      <w:r w:rsidR="00CB3C3D" w:rsidRPr="00341927">
        <w:rPr>
          <w:rFonts w:ascii="Times New Roman" w:hAnsi="Times New Roman"/>
          <w:sz w:val="22"/>
          <w:szCs w:val="22"/>
        </w:rPr>
        <w:t xml:space="preserve"> flexible and</w:t>
      </w:r>
      <w:r w:rsidR="00BB6E2A" w:rsidRPr="00341927">
        <w:rPr>
          <w:rFonts w:ascii="Times New Roman" w:hAnsi="Times New Roman"/>
          <w:sz w:val="22"/>
          <w:szCs w:val="22"/>
        </w:rPr>
        <w:t xml:space="preserve"> gain recognition and a voice amongst national Governments, UN bodies, donors and NGO partners alike.</w:t>
      </w:r>
    </w:p>
    <w:p w:rsidR="00383A4A" w:rsidRDefault="00383A4A"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p>
    <w:p w:rsidR="00CB3C3D" w:rsidRPr="00341927" w:rsidRDefault="0046315F"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r>
        <w:rPr>
          <w:rFonts w:ascii="Times New Roman" w:hAnsi="Times New Roman"/>
          <w:sz w:val="22"/>
          <w:szCs w:val="22"/>
          <w:lang w:val="en-GB"/>
        </w:rPr>
        <w:t xml:space="preserve">The review </w:t>
      </w:r>
      <w:r w:rsidRPr="00341927">
        <w:rPr>
          <w:rFonts w:ascii="Times New Roman" w:hAnsi="Times New Roman"/>
          <w:sz w:val="22"/>
          <w:szCs w:val="22"/>
        </w:rPr>
        <w:t>team</w:t>
      </w:r>
      <w:r w:rsidR="00CB3C3D" w:rsidRPr="00341927">
        <w:rPr>
          <w:rFonts w:ascii="Times New Roman" w:hAnsi="Times New Roman"/>
          <w:sz w:val="22"/>
          <w:szCs w:val="22"/>
          <w:lang w:val="en-GB"/>
        </w:rPr>
        <w:t xml:space="preserve"> made the following recommendations to </w:t>
      </w:r>
      <w:proofErr w:type="spellStart"/>
      <w:r w:rsidR="00CB3C3D" w:rsidRPr="00341927">
        <w:rPr>
          <w:rFonts w:ascii="Times New Roman" w:hAnsi="Times New Roman"/>
          <w:sz w:val="22"/>
          <w:szCs w:val="22"/>
          <w:lang w:val="en-GB"/>
        </w:rPr>
        <w:t>HelpAge</w:t>
      </w:r>
      <w:proofErr w:type="spellEnd"/>
      <w:r w:rsidR="00CB3C3D" w:rsidRPr="00341927">
        <w:rPr>
          <w:rFonts w:ascii="Times New Roman" w:hAnsi="Times New Roman"/>
          <w:sz w:val="22"/>
          <w:szCs w:val="22"/>
          <w:lang w:val="en-GB"/>
        </w:rPr>
        <w:t xml:space="preserve"> International: </w:t>
      </w:r>
    </w:p>
    <w:p w:rsidR="00CD4308" w:rsidRPr="00341927" w:rsidRDefault="00BB6E2A"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lang w:val="en-GB"/>
        </w:rPr>
      </w:pPr>
      <w:r w:rsidRPr="00341927">
        <w:rPr>
          <w:rFonts w:ascii="Times New Roman" w:hAnsi="Times New Roman"/>
          <w:sz w:val="22"/>
          <w:szCs w:val="22"/>
          <w:lang w:val="en-GB"/>
        </w:rPr>
        <w:t xml:space="preserve">Further pursue </w:t>
      </w:r>
      <w:r w:rsidRPr="00341927">
        <w:rPr>
          <w:rFonts w:ascii="Times New Roman" w:hAnsi="Times New Roman"/>
          <w:sz w:val="22"/>
          <w:szCs w:val="22"/>
        </w:rPr>
        <w:t xml:space="preserve">initiatives to take forward the value for money agenda </w:t>
      </w:r>
    </w:p>
    <w:p w:rsidR="00BB6E2A" w:rsidRPr="00341927" w:rsidRDefault="00BB6E2A"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rPr>
      </w:pPr>
      <w:r w:rsidRPr="00341927">
        <w:rPr>
          <w:rFonts w:ascii="Times New Roman" w:hAnsi="Times New Roman"/>
          <w:sz w:val="22"/>
          <w:szCs w:val="22"/>
          <w:lang w:val="en-GB"/>
        </w:rPr>
        <w:t>C</w:t>
      </w:r>
      <w:proofErr w:type="spellStart"/>
      <w:r w:rsidR="0046315F" w:rsidRPr="00341927">
        <w:rPr>
          <w:rFonts w:ascii="Times New Roman" w:hAnsi="Times New Roman"/>
          <w:sz w:val="22"/>
          <w:szCs w:val="22"/>
        </w:rPr>
        <w:t>ontinue</w:t>
      </w:r>
      <w:proofErr w:type="spellEnd"/>
      <w:r w:rsidRPr="00341927">
        <w:rPr>
          <w:rFonts w:ascii="Times New Roman" w:hAnsi="Times New Roman"/>
          <w:sz w:val="22"/>
          <w:szCs w:val="22"/>
        </w:rPr>
        <w:t xml:space="preserve"> to ensure that regional and national staff are orientated and trained accordingly</w:t>
      </w:r>
    </w:p>
    <w:p w:rsidR="00BB6E2A" w:rsidRPr="00341927" w:rsidRDefault="0046315F"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rPr>
      </w:pPr>
      <w:r>
        <w:rPr>
          <w:rFonts w:ascii="Times New Roman" w:hAnsi="Times New Roman"/>
          <w:sz w:val="22"/>
          <w:szCs w:val="22"/>
          <w:lang w:val="en-GB"/>
        </w:rPr>
        <w:t>G</w:t>
      </w:r>
      <w:proofErr w:type="spellStart"/>
      <w:r w:rsidR="00BB6E2A" w:rsidRPr="00341927">
        <w:rPr>
          <w:rFonts w:ascii="Times New Roman" w:hAnsi="Times New Roman"/>
          <w:sz w:val="22"/>
          <w:szCs w:val="22"/>
        </w:rPr>
        <w:t>ive</w:t>
      </w:r>
      <w:proofErr w:type="spellEnd"/>
      <w:r w:rsidR="00BB6E2A" w:rsidRPr="00341927">
        <w:rPr>
          <w:rFonts w:ascii="Times New Roman" w:hAnsi="Times New Roman"/>
          <w:sz w:val="22"/>
          <w:szCs w:val="22"/>
        </w:rPr>
        <w:t xml:space="preserve"> greater emphasis to information management systems</w:t>
      </w:r>
    </w:p>
    <w:p w:rsidR="00BB6E2A" w:rsidRPr="00341927" w:rsidRDefault="0046315F"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rPr>
      </w:pPr>
      <w:r>
        <w:rPr>
          <w:rFonts w:ascii="Times New Roman" w:hAnsi="Times New Roman"/>
          <w:sz w:val="22"/>
          <w:szCs w:val="22"/>
          <w:lang w:val="en-GB"/>
        </w:rPr>
        <w:t>S</w:t>
      </w:r>
      <w:proofErr w:type="spellStart"/>
      <w:r w:rsidR="00BB6E2A" w:rsidRPr="00341927">
        <w:rPr>
          <w:rFonts w:ascii="Times New Roman" w:hAnsi="Times New Roman"/>
          <w:sz w:val="22"/>
          <w:szCs w:val="22"/>
        </w:rPr>
        <w:t>trengthen</w:t>
      </w:r>
      <w:proofErr w:type="spellEnd"/>
      <w:r w:rsidR="00BB6E2A" w:rsidRPr="00341927">
        <w:rPr>
          <w:rFonts w:ascii="Times New Roman" w:hAnsi="Times New Roman"/>
          <w:sz w:val="22"/>
          <w:szCs w:val="22"/>
        </w:rPr>
        <w:t xml:space="preserve">  M&amp;E capacity at national level</w:t>
      </w:r>
    </w:p>
    <w:p w:rsidR="0046315F" w:rsidRDefault="00BB6E2A"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lang w:val="en-GB"/>
        </w:rPr>
      </w:pPr>
      <w:r w:rsidRPr="00341927">
        <w:rPr>
          <w:rFonts w:ascii="Times New Roman" w:hAnsi="Times New Roman"/>
          <w:sz w:val="22"/>
          <w:szCs w:val="22"/>
          <w:lang w:val="en-GB"/>
        </w:rPr>
        <w:t>S</w:t>
      </w:r>
      <w:proofErr w:type="spellStart"/>
      <w:r w:rsidR="00CD4308" w:rsidRPr="00341927">
        <w:rPr>
          <w:rFonts w:ascii="Times New Roman" w:hAnsi="Times New Roman"/>
          <w:sz w:val="22"/>
          <w:szCs w:val="22"/>
        </w:rPr>
        <w:t>trengthen</w:t>
      </w:r>
      <w:proofErr w:type="spellEnd"/>
      <w:r w:rsidRPr="00341927">
        <w:rPr>
          <w:rFonts w:ascii="Times New Roman" w:hAnsi="Times New Roman"/>
          <w:sz w:val="22"/>
          <w:szCs w:val="22"/>
        </w:rPr>
        <w:t xml:space="preserve"> existing linkages, and develop new li</w:t>
      </w:r>
      <w:r w:rsidR="0046315F">
        <w:rPr>
          <w:rFonts w:ascii="Times New Roman" w:hAnsi="Times New Roman"/>
          <w:sz w:val="22"/>
          <w:szCs w:val="22"/>
        </w:rPr>
        <w:t>nkages with research institutes</w:t>
      </w:r>
      <w:r w:rsidR="0046315F">
        <w:rPr>
          <w:rFonts w:ascii="Times New Roman" w:hAnsi="Times New Roman"/>
          <w:sz w:val="22"/>
          <w:szCs w:val="22"/>
          <w:lang w:val="en-GB"/>
        </w:rPr>
        <w:t>.</w:t>
      </w:r>
    </w:p>
    <w:p w:rsidR="00BB6E2A" w:rsidRPr="00341927" w:rsidRDefault="00CD4308"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lang w:val="en-GB"/>
        </w:rPr>
      </w:pPr>
      <w:r w:rsidRPr="00341927">
        <w:rPr>
          <w:rFonts w:ascii="Times New Roman" w:hAnsi="Times New Roman"/>
          <w:sz w:val="22"/>
          <w:szCs w:val="22"/>
          <w:lang w:val="en-GB"/>
        </w:rPr>
        <w:t xml:space="preserve">Ensure that </w:t>
      </w:r>
      <w:proofErr w:type="spellStart"/>
      <w:r w:rsidRPr="00341927">
        <w:rPr>
          <w:rFonts w:ascii="Times New Roman" w:hAnsi="Times New Roman"/>
          <w:sz w:val="22"/>
          <w:szCs w:val="22"/>
          <w:lang w:val="en-GB"/>
        </w:rPr>
        <w:t>HelpAge</w:t>
      </w:r>
      <w:proofErr w:type="spellEnd"/>
      <w:r w:rsidRPr="00341927">
        <w:rPr>
          <w:rFonts w:ascii="Times New Roman" w:hAnsi="Times New Roman"/>
          <w:sz w:val="22"/>
          <w:szCs w:val="22"/>
          <w:lang w:val="en-GB"/>
        </w:rPr>
        <w:t xml:space="preserve"> is </w:t>
      </w:r>
      <w:r w:rsidR="0046315F" w:rsidRPr="00341927">
        <w:rPr>
          <w:rFonts w:ascii="Times New Roman" w:hAnsi="Times New Roman"/>
          <w:sz w:val="22"/>
          <w:szCs w:val="22"/>
          <w:lang w:val="en-GB"/>
        </w:rPr>
        <w:t xml:space="preserve">able </w:t>
      </w:r>
      <w:r w:rsidR="0046315F" w:rsidRPr="00341927">
        <w:rPr>
          <w:rFonts w:ascii="Times New Roman" w:hAnsi="Times New Roman"/>
          <w:sz w:val="22"/>
          <w:szCs w:val="22"/>
        </w:rPr>
        <w:t>to</w:t>
      </w:r>
      <w:r w:rsidR="00BB6E2A" w:rsidRPr="00341927">
        <w:rPr>
          <w:rFonts w:ascii="Times New Roman" w:hAnsi="Times New Roman"/>
          <w:sz w:val="22"/>
          <w:szCs w:val="22"/>
        </w:rPr>
        <w:t xml:space="preserve"> respond to the evidence required by the PPA Evaluators.</w:t>
      </w:r>
    </w:p>
    <w:p w:rsidR="00BB6E2A" w:rsidRPr="00341927" w:rsidRDefault="0046315F"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lang w:val="en-GB"/>
        </w:rPr>
      </w:pPr>
      <w:r>
        <w:rPr>
          <w:rFonts w:ascii="Times New Roman" w:hAnsi="Times New Roman"/>
          <w:sz w:val="22"/>
          <w:szCs w:val="22"/>
          <w:lang w:val="en-GB"/>
        </w:rPr>
        <w:t>Mobilise</w:t>
      </w:r>
      <w:r w:rsidR="00BB6E2A" w:rsidRPr="00341927">
        <w:rPr>
          <w:rFonts w:ascii="Times New Roman" w:hAnsi="Times New Roman"/>
          <w:sz w:val="22"/>
          <w:szCs w:val="22"/>
        </w:rPr>
        <w:t xml:space="preserve"> funds to carry out an assessment of the effectiveness and impact of present approaches to capacity building</w:t>
      </w:r>
      <w:r w:rsidR="00BB6E2A" w:rsidRPr="00341927">
        <w:rPr>
          <w:rFonts w:ascii="Times New Roman" w:hAnsi="Times New Roman"/>
          <w:sz w:val="22"/>
          <w:szCs w:val="22"/>
          <w:lang w:val="en-GB"/>
        </w:rPr>
        <w:t xml:space="preserve">. </w:t>
      </w:r>
    </w:p>
    <w:p w:rsidR="00CD4308" w:rsidRPr="00341927" w:rsidRDefault="0046315F" w:rsidP="0046315F">
      <w:pPr>
        <w:pStyle w:val="IDLToolbox"/>
        <w:numPr>
          <w:ilvl w:val="0"/>
          <w:numId w:val="10"/>
        </w:numPr>
        <w:pBdr>
          <w:top w:val="none" w:sz="0" w:space="0" w:color="auto"/>
          <w:left w:val="none" w:sz="0" w:space="0" w:color="auto"/>
          <w:bottom w:val="none" w:sz="0" w:space="0" w:color="auto"/>
          <w:right w:val="none" w:sz="0" w:space="0" w:color="auto"/>
        </w:pBdr>
        <w:shd w:val="clear" w:color="auto" w:fill="FFFFFF" w:themeFill="background1"/>
        <w:spacing w:line="276" w:lineRule="auto"/>
        <w:rPr>
          <w:rFonts w:ascii="Times New Roman" w:hAnsi="Times New Roman"/>
          <w:sz w:val="22"/>
          <w:szCs w:val="22"/>
          <w:lang w:val="en-GB"/>
        </w:rPr>
      </w:pPr>
      <w:r>
        <w:rPr>
          <w:rFonts w:ascii="Times New Roman" w:hAnsi="Times New Roman"/>
          <w:sz w:val="22"/>
          <w:szCs w:val="22"/>
          <w:lang w:val="en-GB"/>
        </w:rPr>
        <w:t>Explore</w:t>
      </w:r>
      <w:r w:rsidR="00BB6E2A" w:rsidRPr="00341927">
        <w:rPr>
          <w:rFonts w:ascii="Times New Roman" w:hAnsi="Times New Roman"/>
          <w:sz w:val="22"/>
          <w:szCs w:val="22"/>
        </w:rPr>
        <w:t xml:space="preserve"> ways in which organisational learning can better inform planning, programming and innovation</w:t>
      </w:r>
      <w:r w:rsidR="00BB6E2A" w:rsidRPr="00341927">
        <w:rPr>
          <w:rFonts w:ascii="Times New Roman" w:hAnsi="Times New Roman"/>
          <w:sz w:val="22"/>
          <w:szCs w:val="22"/>
          <w:lang w:val="en-GB"/>
        </w:rPr>
        <w:t xml:space="preserve">. </w:t>
      </w:r>
    </w:p>
    <w:p w:rsidR="00CD4308" w:rsidRPr="0046315F" w:rsidRDefault="0046315F"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i/>
          <w:sz w:val="22"/>
          <w:szCs w:val="22"/>
          <w:lang w:val="en-GB"/>
        </w:rPr>
      </w:pPr>
      <w:r w:rsidRPr="0046315F">
        <w:rPr>
          <w:rFonts w:ascii="Times New Roman" w:hAnsi="Times New Roman"/>
          <w:b/>
          <w:i/>
          <w:sz w:val="22"/>
          <w:szCs w:val="22"/>
          <w:lang w:val="en-GB"/>
        </w:rPr>
        <w:t xml:space="preserve">Read full report here (insert link) </w:t>
      </w:r>
    </w:p>
    <w:p w:rsidR="00CD4308" w:rsidRPr="00341927" w:rsidRDefault="00CD4308"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p>
    <w:p w:rsidR="00CD4308" w:rsidRPr="00341927" w:rsidRDefault="00CD4308" w:rsidP="001C72C4">
      <w:pPr>
        <w:pStyle w:val="Heading1"/>
      </w:pPr>
      <w:r w:rsidRPr="00341927">
        <w:t>Policy, influencing and campaigning</w:t>
      </w:r>
    </w:p>
    <w:p w:rsidR="00CD4308" w:rsidRPr="00341927" w:rsidRDefault="00CD4308"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
    <w:p w:rsidR="00BF1310" w:rsidRPr="00BF1310" w:rsidRDefault="00CD4308"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i/>
          <w:sz w:val="22"/>
          <w:szCs w:val="22"/>
          <w:lang w:val="en-GB"/>
        </w:rPr>
      </w:pPr>
      <w:r w:rsidRPr="00341927">
        <w:rPr>
          <w:rFonts w:ascii="Times New Roman" w:hAnsi="Times New Roman"/>
          <w:sz w:val="22"/>
          <w:szCs w:val="22"/>
        </w:rPr>
        <w:t>The</w:t>
      </w:r>
      <w:r w:rsidRPr="00341927">
        <w:rPr>
          <w:rFonts w:ascii="Times New Roman" w:hAnsi="Times New Roman"/>
          <w:sz w:val="22"/>
          <w:szCs w:val="22"/>
          <w:lang w:val="en-GB"/>
        </w:rPr>
        <w:t xml:space="preserve"> </w:t>
      </w:r>
      <w:r w:rsidRPr="00341927">
        <w:rPr>
          <w:rFonts w:ascii="Times New Roman" w:hAnsi="Times New Roman"/>
          <w:sz w:val="22"/>
          <w:szCs w:val="22"/>
        </w:rPr>
        <w:t xml:space="preserve"> Age Demands Action Campaign </w:t>
      </w:r>
      <w:r w:rsidRPr="00341927">
        <w:rPr>
          <w:rFonts w:ascii="Times New Roman" w:hAnsi="Times New Roman"/>
          <w:sz w:val="22"/>
          <w:szCs w:val="22"/>
          <w:lang w:val="en-GB"/>
        </w:rPr>
        <w:t xml:space="preserve"> evaluation showed the campaign</w:t>
      </w:r>
      <w:r w:rsidRPr="00341927">
        <w:rPr>
          <w:rFonts w:ascii="Times New Roman" w:hAnsi="Times New Roman"/>
          <w:sz w:val="22"/>
          <w:szCs w:val="22"/>
        </w:rPr>
        <w:t xml:space="preserve"> grow</w:t>
      </w:r>
      <w:r w:rsidRPr="00341927">
        <w:rPr>
          <w:rFonts w:ascii="Times New Roman" w:hAnsi="Times New Roman"/>
          <w:sz w:val="22"/>
          <w:szCs w:val="22"/>
          <w:lang w:val="en-GB"/>
        </w:rPr>
        <w:t>th</w:t>
      </w:r>
      <w:r w:rsidRPr="00341927">
        <w:rPr>
          <w:rFonts w:ascii="Times New Roman" w:hAnsi="Times New Roman"/>
          <w:sz w:val="22"/>
          <w:szCs w:val="22"/>
        </w:rPr>
        <w:t xml:space="preserve"> from 27 countries in 2007 to 59 participating countries in March 2012.</w:t>
      </w:r>
      <w:r w:rsidRPr="00341927">
        <w:rPr>
          <w:rStyle w:val="FootnoteReference"/>
          <w:rFonts w:ascii="Times New Roman" w:hAnsi="Times New Roman"/>
          <w:sz w:val="22"/>
          <w:szCs w:val="22"/>
        </w:rPr>
        <w:footnoteReference w:id="1"/>
      </w:r>
      <w:r w:rsidRPr="00341927">
        <w:rPr>
          <w:rFonts w:ascii="Times New Roman" w:hAnsi="Times New Roman"/>
          <w:sz w:val="22"/>
          <w:szCs w:val="22"/>
        </w:rPr>
        <w:t xml:space="preserve"> </w:t>
      </w:r>
      <w:r w:rsidR="005C5C66">
        <w:rPr>
          <w:rFonts w:ascii="Times New Roman" w:hAnsi="Times New Roman"/>
          <w:sz w:val="22"/>
          <w:szCs w:val="22"/>
          <w:lang w:val="en-GB"/>
        </w:rPr>
        <w:t>The campaign</w:t>
      </w:r>
      <w:r w:rsidRPr="00341927">
        <w:rPr>
          <w:rFonts w:ascii="Times New Roman" w:hAnsi="Times New Roman"/>
          <w:sz w:val="22"/>
          <w:szCs w:val="22"/>
        </w:rPr>
        <w:t xml:space="preserve"> also mobilised a significant number of older people to </w:t>
      </w:r>
      <w:r w:rsidR="005C5C66">
        <w:rPr>
          <w:rFonts w:ascii="Times New Roman" w:hAnsi="Times New Roman"/>
          <w:sz w:val="22"/>
          <w:szCs w:val="22"/>
          <w:lang w:val="en-GB"/>
        </w:rPr>
        <w:t>fight</w:t>
      </w:r>
      <w:r w:rsidRPr="00341927">
        <w:rPr>
          <w:rFonts w:ascii="Times New Roman" w:hAnsi="Times New Roman"/>
          <w:sz w:val="22"/>
          <w:szCs w:val="22"/>
        </w:rPr>
        <w:t xml:space="preserve"> for their rights. For example, since 2008, 32,213 people have signed a global petition calling for equal rights for older people and, in 2011, ADA engaged over 62,000 campaigners.</w:t>
      </w:r>
      <w:r w:rsidRPr="00341927">
        <w:rPr>
          <w:rStyle w:val="FootnoteReference"/>
          <w:rFonts w:ascii="Times New Roman" w:hAnsi="Times New Roman"/>
          <w:sz w:val="22"/>
          <w:szCs w:val="22"/>
        </w:rPr>
        <w:footnoteReference w:id="2"/>
      </w:r>
      <w:r w:rsidRPr="00341927">
        <w:rPr>
          <w:rFonts w:ascii="Times New Roman" w:hAnsi="Times New Roman"/>
          <w:sz w:val="22"/>
          <w:szCs w:val="22"/>
        </w:rPr>
        <w:t xml:space="preserve"> It also achieved some significant improvements for older people’s lives. In 18 municipalities or provinces </w:t>
      </w:r>
      <w:r w:rsidRPr="00341927">
        <w:rPr>
          <w:rFonts w:ascii="Times New Roman" w:hAnsi="Times New Roman"/>
          <w:sz w:val="22"/>
          <w:szCs w:val="22"/>
        </w:rPr>
        <w:lastRenderedPageBreak/>
        <w:t xml:space="preserve">around the world older people achieved changes for the betterment of their lives, for example by being granted discounts and special seating on local transport or through improved health services. Although attribution of policy changes to ADA is difficult, it is extremely likely that the activities of ADA have in many countries contributed to important breakthroughs. 21 countries made progress on Older People Policies, or Policies including older people; 7 countries created National Older People Committees; in 4 countries </w:t>
      </w:r>
      <w:proofErr w:type="spellStart"/>
      <w:r w:rsidRPr="00341927">
        <w:rPr>
          <w:rFonts w:ascii="Times New Roman" w:hAnsi="Times New Roman"/>
          <w:sz w:val="22"/>
          <w:szCs w:val="22"/>
        </w:rPr>
        <w:t>HelpAge</w:t>
      </w:r>
      <w:proofErr w:type="spellEnd"/>
      <w:r w:rsidRPr="00341927">
        <w:rPr>
          <w:rFonts w:ascii="Times New Roman" w:hAnsi="Times New Roman"/>
          <w:sz w:val="22"/>
          <w:szCs w:val="22"/>
        </w:rPr>
        <w:t xml:space="preserve"> was invited to contribute to Older People Policies; 17 countries made progress on extending coverage of pensions or other social protection policies or are in the process of reviewing these policies; in 11 countries, older people saw improvements in their access to health services; 7 countries implemented improvements to other public services such as transport or housing; and 3 countries investigated older peopl</w:t>
      </w:r>
      <w:r w:rsidR="009A27A4" w:rsidRPr="00341927">
        <w:rPr>
          <w:rFonts w:ascii="Times New Roman" w:hAnsi="Times New Roman"/>
          <w:sz w:val="22"/>
          <w:szCs w:val="22"/>
        </w:rPr>
        <w:t>e’s issues with a view to chang</w:t>
      </w:r>
      <w:r w:rsidR="009A27A4" w:rsidRPr="00341927">
        <w:rPr>
          <w:rFonts w:ascii="Times New Roman" w:hAnsi="Times New Roman"/>
          <w:sz w:val="22"/>
          <w:szCs w:val="22"/>
          <w:lang w:val="en-GB"/>
        </w:rPr>
        <w:t>e</w:t>
      </w:r>
      <w:r w:rsidR="00BF1310">
        <w:rPr>
          <w:rFonts w:ascii="Times New Roman" w:hAnsi="Times New Roman"/>
          <w:sz w:val="22"/>
          <w:szCs w:val="22"/>
          <w:lang w:val="en-GB"/>
        </w:rPr>
        <w:t xml:space="preserve"> . </w:t>
      </w:r>
      <w:r w:rsidR="00BF1310" w:rsidRPr="00383A4A">
        <w:rPr>
          <w:rFonts w:ascii="Times New Roman" w:hAnsi="Times New Roman"/>
          <w:b/>
          <w:i/>
          <w:sz w:val="22"/>
          <w:szCs w:val="22"/>
          <w:lang w:val="en-GB"/>
        </w:rPr>
        <w:t>Read full report here</w:t>
      </w:r>
      <w:r w:rsidR="00BF1310" w:rsidRPr="00BF1310">
        <w:rPr>
          <w:rFonts w:ascii="Times New Roman" w:hAnsi="Times New Roman"/>
          <w:i/>
          <w:sz w:val="22"/>
          <w:szCs w:val="22"/>
          <w:lang w:val="en-GB"/>
        </w:rPr>
        <w:t xml:space="preserve">. </w:t>
      </w:r>
    </w:p>
    <w:p w:rsidR="009A27A4" w:rsidRPr="00341927" w:rsidRDefault="009A27A4"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p>
    <w:p w:rsidR="00341927" w:rsidRDefault="009A27A4" w:rsidP="001C72C4">
      <w:pPr>
        <w:pStyle w:val="Heading1"/>
      </w:pPr>
      <w:r w:rsidRPr="00341927">
        <w:t>Emergency response</w:t>
      </w:r>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
    <w:p w:rsidR="00341927" w:rsidRDefault="009A27A4"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r w:rsidRPr="00341927">
        <w:rPr>
          <w:rFonts w:ascii="Times New Roman" w:hAnsi="Times New Roman"/>
          <w:sz w:val="22"/>
          <w:szCs w:val="22"/>
        </w:rPr>
        <w:t xml:space="preserve">The </w:t>
      </w:r>
      <w:r w:rsidR="004D7FD6" w:rsidRPr="00341927">
        <w:rPr>
          <w:rFonts w:ascii="Times New Roman" w:hAnsi="Times New Roman"/>
          <w:sz w:val="22"/>
          <w:szCs w:val="22"/>
        </w:rPr>
        <w:t xml:space="preserve">Real Time evaluation of DEC emergency response in Kenya and Ethiopia </w:t>
      </w:r>
      <w:r w:rsidRPr="00341927">
        <w:rPr>
          <w:rFonts w:ascii="Times New Roman" w:hAnsi="Times New Roman"/>
          <w:sz w:val="22"/>
          <w:szCs w:val="22"/>
        </w:rPr>
        <w:t xml:space="preserve">found that considerable efforts had been made to draw on </w:t>
      </w:r>
      <w:r w:rsidRPr="00341927">
        <w:rPr>
          <w:rFonts w:ascii="Times New Roman" w:hAnsi="Times New Roman"/>
          <w:iCs/>
          <w:sz w:val="22"/>
          <w:szCs w:val="22"/>
        </w:rPr>
        <w:t>lessons learned</w:t>
      </w:r>
      <w:r w:rsidRPr="00341927">
        <w:rPr>
          <w:rFonts w:ascii="Times New Roman" w:hAnsi="Times New Roman"/>
          <w:sz w:val="22"/>
          <w:szCs w:val="22"/>
        </w:rPr>
        <w:t xml:space="preserve"> from previous responses. This was more evident in program design and strategy than it was in practice. Many examples were found of innovative program adaptation to the particular circumstances of the region concerned. For example </w:t>
      </w:r>
      <w:r w:rsidR="004D7FD6" w:rsidRPr="00341927">
        <w:rPr>
          <w:rFonts w:ascii="Times New Roman" w:hAnsi="Times New Roman"/>
          <w:sz w:val="22"/>
          <w:szCs w:val="22"/>
        </w:rPr>
        <w:t xml:space="preserve">in Kenya </w:t>
      </w:r>
      <w:r w:rsidRPr="00341927">
        <w:rPr>
          <w:rFonts w:ascii="Times New Roman" w:hAnsi="Times New Roman"/>
          <w:sz w:val="22"/>
          <w:szCs w:val="22"/>
        </w:rPr>
        <w:t xml:space="preserve">several agencies (notably Oxfam and Help Age International) have adopted innovative food distribution and other methods to provide social protection, support livelihoods and improve markets. These included vouchers, cash grants through (and to) traders, and small commissions for distribution services. These approaches, which some agencies have grounded in a solid social and gender analysis, are felt to offer more and longer-term benefits than outright food distribution, as well as being efficient ways of achieving short-term relief goals. </w:t>
      </w:r>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p>
    <w:p w:rsidR="004D7FD6" w:rsidRDefault="004D7FD6"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r w:rsidRPr="00341927">
        <w:rPr>
          <w:rFonts w:ascii="Times New Roman" w:hAnsi="Times New Roman"/>
          <w:sz w:val="22"/>
          <w:szCs w:val="22"/>
        </w:rPr>
        <w:t xml:space="preserve">In Kenya </w:t>
      </w:r>
      <w:r w:rsidR="005C5C66">
        <w:rPr>
          <w:rFonts w:ascii="Times New Roman" w:hAnsi="Times New Roman"/>
          <w:sz w:val="22"/>
          <w:szCs w:val="22"/>
          <w:lang w:val="en-GB"/>
        </w:rPr>
        <w:t>and</w:t>
      </w:r>
      <w:r w:rsidRPr="00341927">
        <w:rPr>
          <w:rFonts w:ascii="Times New Roman" w:hAnsi="Times New Roman"/>
          <w:sz w:val="22"/>
          <w:szCs w:val="22"/>
        </w:rPr>
        <w:t xml:space="preserve"> Ethiopia, implementing agencies appear</w:t>
      </w:r>
      <w:r w:rsidR="0072610D">
        <w:rPr>
          <w:rFonts w:ascii="Times New Roman" w:hAnsi="Times New Roman"/>
          <w:sz w:val="22"/>
          <w:szCs w:val="22"/>
          <w:lang w:val="en-GB"/>
        </w:rPr>
        <w:t>ed</w:t>
      </w:r>
      <w:r w:rsidRPr="00341927">
        <w:rPr>
          <w:rFonts w:ascii="Times New Roman" w:hAnsi="Times New Roman"/>
          <w:sz w:val="22"/>
          <w:szCs w:val="22"/>
        </w:rPr>
        <w:t xml:space="preserve"> to suffer from some loss of institutional memory concerning their lo</w:t>
      </w:r>
      <w:r w:rsidR="0072610D">
        <w:rPr>
          <w:rFonts w:ascii="Times New Roman" w:hAnsi="Times New Roman"/>
          <w:sz w:val="22"/>
          <w:szCs w:val="22"/>
        </w:rPr>
        <w:t>nger-term engagement</w:t>
      </w:r>
      <w:r w:rsidRPr="00341927">
        <w:rPr>
          <w:rFonts w:ascii="Times New Roman" w:hAnsi="Times New Roman"/>
          <w:sz w:val="22"/>
          <w:szCs w:val="22"/>
        </w:rPr>
        <w:t xml:space="preserve">, and lacked the long-serving staff that they used to have. In particular agencies have learned that emergency </w:t>
      </w:r>
      <w:r w:rsidRPr="00341927">
        <w:rPr>
          <w:rFonts w:ascii="Times New Roman" w:hAnsi="Times New Roman"/>
          <w:sz w:val="22"/>
          <w:szCs w:val="22"/>
          <w:lang w:val="en-CA"/>
        </w:rPr>
        <w:t>responses which are built on and work alongside longer-term development projects are likely to have greater impact in themselves, to increase future scale up and response capacity, and to assist in building resilience</w:t>
      </w:r>
      <w:r w:rsidRPr="00341927">
        <w:rPr>
          <w:rFonts w:ascii="Times New Roman" w:hAnsi="Times New Roman"/>
          <w:sz w:val="22"/>
          <w:szCs w:val="22"/>
        </w:rPr>
        <w:t xml:space="preserve"> </w:t>
      </w:r>
    </w:p>
    <w:p w:rsidR="00341927" w:rsidRP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
    <w:p w:rsidR="00BF1310" w:rsidRDefault="009A27A4" w:rsidP="00BF1310">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r w:rsidRPr="00341927">
        <w:rPr>
          <w:rFonts w:ascii="Times New Roman" w:hAnsi="Times New Roman"/>
          <w:sz w:val="22"/>
          <w:szCs w:val="22"/>
        </w:rPr>
        <w:t xml:space="preserve">At the operational level, although agencies were well aware of the need to integrate short- and longer-term perspectives of their work, they were less adept in practice at combining the two and achieving the necessary organisational transitions. </w:t>
      </w:r>
    </w:p>
    <w:p w:rsidR="00BF1310" w:rsidRDefault="00BF1310" w:rsidP="00BF1310">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GB"/>
        </w:rPr>
      </w:pPr>
    </w:p>
    <w:p w:rsidR="00BF1310" w:rsidRPr="00BF1310" w:rsidRDefault="00383A4A" w:rsidP="00BF1310">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i/>
          <w:sz w:val="22"/>
          <w:szCs w:val="22"/>
          <w:lang w:val="en-GB"/>
        </w:rPr>
      </w:pPr>
      <w:r>
        <w:rPr>
          <w:rFonts w:ascii="Times New Roman" w:hAnsi="Times New Roman"/>
          <w:i/>
          <w:sz w:val="22"/>
          <w:szCs w:val="22"/>
          <w:lang w:val="en-GB"/>
        </w:rPr>
        <w:t xml:space="preserve">Read full </w:t>
      </w:r>
      <w:r w:rsidR="005C5C66">
        <w:rPr>
          <w:rFonts w:ascii="Times New Roman" w:hAnsi="Times New Roman"/>
          <w:i/>
          <w:sz w:val="22"/>
          <w:szCs w:val="22"/>
          <w:lang w:val="en-GB"/>
        </w:rPr>
        <w:t>report:</w:t>
      </w:r>
      <w:r w:rsidR="00BF1310" w:rsidRPr="00BF1310">
        <w:rPr>
          <w:rFonts w:ascii="Times New Roman" w:hAnsi="Times New Roman"/>
          <w:i/>
          <w:sz w:val="22"/>
          <w:szCs w:val="22"/>
          <w:lang w:val="en-GB"/>
        </w:rPr>
        <w:t xml:space="preserve"> Disasters Emergency Committee –. Kenya Real-Time Evaluation </w:t>
      </w:r>
    </w:p>
    <w:p w:rsidR="00BF1310" w:rsidRPr="00BF1310" w:rsidRDefault="00BF1310" w:rsidP="00BF1310">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i/>
          <w:sz w:val="22"/>
          <w:szCs w:val="22"/>
          <w:lang w:val="en-GB"/>
        </w:rPr>
      </w:pPr>
      <w:r w:rsidRPr="00BF1310">
        <w:rPr>
          <w:rFonts w:ascii="Times New Roman" w:hAnsi="Times New Roman"/>
          <w:i/>
          <w:sz w:val="22"/>
          <w:szCs w:val="22"/>
          <w:lang w:val="en-GB"/>
        </w:rPr>
        <w:t xml:space="preserve">Red full report: Disasters Emergency Committee – Ethiopia Real-Time Evaluation </w:t>
      </w:r>
    </w:p>
    <w:p w:rsidR="00341927" w:rsidRDefault="002E1A2A" w:rsidP="001C72C4">
      <w:pPr>
        <w:pStyle w:val="Heading1"/>
      </w:pPr>
      <w:r w:rsidRPr="00341927">
        <w:t>Rights to live without violence at old age</w:t>
      </w:r>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
    <w:p w:rsidR="00341927" w:rsidRDefault="00CA7B1B"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r w:rsidRPr="00341927">
        <w:rPr>
          <w:rFonts w:ascii="Times New Roman" w:hAnsi="Times New Roman"/>
          <w:sz w:val="22"/>
          <w:szCs w:val="22"/>
          <w:lang w:val="en-US"/>
        </w:rPr>
        <w:t xml:space="preserve">The project "Right to Life </w:t>
      </w:r>
      <w:r w:rsidR="00BF1310" w:rsidRPr="00341927">
        <w:rPr>
          <w:rFonts w:ascii="Times New Roman" w:hAnsi="Times New Roman"/>
          <w:sz w:val="22"/>
          <w:szCs w:val="22"/>
          <w:lang w:val="en-US"/>
        </w:rPr>
        <w:t>without</w:t>
      </w:r>
      <w:r w:rsidRPr="00341927">
        <w:rPr>
          <w:rFonts w:ascii="Times New Roman" w:hAnsi="Times New Roman"/>
          <w:sz w:val="22"/>
          <w:szCs w:val="22"/>
          <w:lang w:val="en-US"/>
        </w:rPr>
        <w:t xml:space="preserve"> Violence in Old Age" is one of the first initiatives raising the issue of violence, neglect and abuse against older people in the Kyrgyz Republic. Before, the issues of violence against elderly people had never been discussed or addressed in the communities.  Although the regulations of local authorities contain norms to support older people, these measures are generally limited to providing one-time aid in the form of gifts on the Elderly People Day and other significant dates. Problems of violence against older people were traditionally considered as family internal issue </w:t>
      </w:r>
      <w:r w:rsidRPr="00341927">
        <w:rPr>
          <w:rFonts w:ascii="Times New Roman" w:hAnsi="Times New Roman"/>
          <w:sz w:val="22"/>
          <w:szCs w:val="22"/>
          <w:lang w:val="en-US"/>
        </w:rPr>
        <w:lastRenderedPageBreak/>
        <w:t xml:space="preserve">and the lack of protection allowed family members and other community members to keep on abusing older people. There were many cases when older people, mostly retired women were not able to defend their own rights and were forced to a street living. </w:t>
      </w:r>
      <w:bookmarkStart w:id="0" w:name="OLE_LINK2"/>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p>
    <w:p w:rsidR="00341927" w:rsidRDefault="00CA7B1B"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r w:rsidRPr="00341927">
        <w:rPr>
          <w:rFonts w:ascii="Times New Roman" w:hAnsi="Times New Roman"/>
          <w:sz w:val="22"/>
          <w:szCs w:val="22"/>
          <w:lang w:val="en-US"/>
        </w:rPr>
        <w:t xml:space="preserve">The evaluation found the </w:t>
      </w:r>
      <w:r w:rsidR="005C1FBC" w:rsidRPr="00341927">
        <w:rPr>
          <w:rFonts w:ascii="Times New Roman" w:hAnsi="Times New Roman"/>
          <w:sz w:val="22"/>
          <w:szCs w:val="22"/>
          <w:lang w:val="en-US"/>
        </w:rPr>
        <w:t xml:space="preserve">Project </w:t>
      </w:r>
      <w:r w:rsidRPr="00341927">
        <w:rPr>
          <w:rFonts w:ascii="Times New Roman" w:hAnsi="Times New Roman"/>
          <w:sz w:val="22"/>
          <w:szCs w:val="22"/>
          <w:lang w:val="en-US"/>
        </w:rPr>
        <w:t>approach appropriate and feasible in local communities. Particularly, the method of establishing of OPGs for mobilization and engagement of community members in order to improve stakeholders’ involvement in addressing the problems of violence and abuse of the elderly, turned out as very effective.</w:t>
      </w:r>
      <w:bookmarkEnd w:id="0"/>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p>
    <w:p w:rsidR="00341927" w:rsidRDefault="00CA7B1B"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r w:rsidRPr="00341927">
        <w:rPr>
          <w:rFonts w:ascii="Times New Roman" w:hAnsi="Times New Roman"/>
          <w:sz w:val="22"/>
          <w:szCs w:val="22"/>
          <w:lang w:val="en-US"/>
        </w:rPr>
        <w:t xml:space="preserve">Implementation of the project at the national level, when all regions of the country were involved, reinforced the attempt to influence and change attitudes in the communities to the problems of older people. Partnership with the Association of Crisis Centers (ASC) was the best solution by </w:t>
      </w:r>
      <w:proofErr w:type="spellStart"/>
      <w:r w:rsidRPr="00341927">
        <w:rPr>
          <w:rFonts w:ascii="Times New Roman" w:hAnsi="Times New Roman"/>
          <w:sz w:val="22"/>
          <w:szCs w:val="22"/>
          <w:lang w:val="en-US"/>
        </w:rPr>
        <w:t>HelpAge</w:t>
      </w:r>
      <w:proofErr w:type="spellEnd"/>
      <w:r w:rsidRPr="00341927">
        <w:rPr>
          <w:rFonts w:ascii="Times New Roman" w:hAnsi="Times New Roman"/>
          <w:sz w:val="22"/>
          <w:szCs w:val="22"/>
          <w:lang w:val="en-US"/>
        </w:rPr>
        <w:t xml:space="preserve"> International, since the Crisis Centers (CCs) in the regions had a successful experience in identifying, solving and preventing violence against women, and that in turn allowed them to use easily their skills and resources on the ground for the success of the project.</w:t>
      </w:r>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p>
    <w:p w:rsidR="00341927" w:rsidRDefault="00CA7B1B"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r w:rsidRPr="00341927">
        <w:rPr>
          <w:rFonts w:ascii="Times New Roman" w:hAnsi="Times New Roman"/>
          <w:sz w:val="22"/>
          <w:szCs w:val="22"/>
          <w:lang w:val="en-US"/>
        </w:rPr>
        <w:t xml:space="preserve">The strategy of involving all community stakeholders in project implementation, represented by </w:t>
      </w:r>
      <w:proofErr w:type="spellStart"/>
      <w:r w:rsidRPr="00341927">
        <w:rPr>
          <w:rFonts w:ascii="Times New Roman" w:hAnsi="Times New Roman"/>
          <w:sz w:val="22"/>
          <w:szCs w:val="22"/>
          <w:lang w:val="en-US"/>
        </w:rPr>
        <w:t>Aiyl</w:t>
      </w:r>
      <w:proofErr w:type="spellEnd"/>
      <w:r w:rsidRPr="00341927">
        <w:rPr>
          <w:rFonts w:ascii="Times New Roman" w:hAnsi="Times New Roman"/>
          <w:sz w:val="22"/>
          <w:szCs w:val="22"/>
          <w:lang w:val="en-US"/>
        </w:rPr>
        <w:t xml:space="preserve"> </w:t>
      </w:r>
      <w:proofErr w:type="spellStart"/>
      <w:r w:rsidRPr="00341927">
        <w:rPr>
          <w:rFonts w:ascii="Times New Roman" w:hAnsi="Times New Roman"/>
          <w:sz w:val="22"/>
          <w:szCs w:val="22"/>
          <w:lang w:val="en-US"/>
        </w:rPr>
        <w:t>okmotu</w:t>
      </w:r>
      <w:proofErr w:type="spellEnd"/>
      <w:r w:rsidRPr="00341927">
        <w:rPr>
          <w:rFonts w:ascii="Times New Roman" w:hAnsi="Times New Roman"/>
          <w:sz w:val="22"/>
          <w:szCs w:val="22"/>
          <w:lang w:val="en-US"/>
        </w:rPr>
        <w:t xml:space="preserve">, courts of </w:t>
      </w:r>
      <w:proofErr w:type="spellStart"/>
      <w:r w:rsidRPr="00341927">
        <w:rPr>
          <w:rFonts w:ascii="Times New Roman" w:hAnsi="Times New Roman"/>
          <w:sz w:val="22"/>
          <w:szCs w:val="22"/>
          <w:lang w:val="en-US"/>
        </w:rPr>
        <w:t>aksakals</w:t>
      </w:r>
      <w:proofErr w:type="spellEnd"/>
      <w:r w:rsidRPr="00341927">
        <w:rPr>
          <w:rFonts w:ascii="Times New Roman" w:hAnsi="Times New Roman"/>
          <w:sz w:val="22"/>
          <w:szCs w:val="22"/>
          <w:lang w:val="en-US"/>
        </w:rPr>
        <w:t>, women's councils, youth committees and representatives of non-governmental organizations in some communities, was successful and contributed to the achiev</w:t>
      </w:r>
      <w:r w:rsidR="00341927">
        <w:rPr>
          <w:rFonts w:ascii="Times New Roman" w:hAnsi="Times New Roman"/>
          <w:sz w:val="22"/>
          <w:szCs w:val="22"/>
          <w:lang w:val="en-US"/>
        </w:rPr>
        <w:t>ement of the Project objectives.</w:t>
      </w:r>
    </w:p>
    <w:p w:rsidR="00341927" w:rsidRDefault="00341927"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sz w:val="22"/>
          <w:szCs w:val="22"/>
          <w:lang w:val="en-US"/>
        </w:rPr>
      </w:pPr>
    </w:p>
    <w:p w:rsidR="00CA7B1B" w:rsidRPr="00745888" w:rsidRDefault="00CA7B1B"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i/>
          <w:sz w:val="22"/>
          <w:szCs w:val="22"/>
          <w:lang w:val="en-GB"/>
        </w:rPr>
      </w:pPr>
      <w:r w:rsidRPr="00341927">
        <w:rPr>
          <w:rFonts w:ascii="Times New Roman" w:hAnsi="Times New Roman"/>
          <w:sz w:val="22"/>
          <w:szCs w:val="22"/>
          <w:lang w:val="en-US"/>
        </w:rPr>
        <w:t>The target group of the Project - active members of the communities and members of civil society enhanced their skills and knowledge in the field of protectio</w:t>
      </w:r>
      <w:r w:rsidR="005C1FBC" w:rsidRPr="00341927">
        <w:rPr>
          <w:rFonts w:ascii="Times New Roman" w:hAnsi="Times New Roman"/>
          <w:sz w:val="22"/>
          <w:szCs w:val="22"/>
          <w:lang w:val="en-US"/>
        </w:rPr>
        <w:t>n of the rights of older people. T</w:t>
      </w:r>
      <w:r w:rsidRPr="00341927">
        <w:rPr>
          <w:rFonts w:ascii="Times New Roman" w:hAnsi="Times New Roman"/>
          <w:sz w:val="22"/>
          <w:szCs w:val="22"/>
          <w:lang w:val="en-US"/>
        </w:rPr>
        <w:t xml:space="preserve">hey learned to independently solve the problems of abused victims who turned to them and organized information campaigns, and that resulted in building trustful relationships with community members. </w:t>
      </w:r>
      <w:r w:rsidR="00745888" w:rsidRPr="00745888">
        <w:rPr>
          <w:rFonts w:ascii="Times New Roman" w:hAnsi="Times New Roman"/>
          <w:b/>
          <w:i/>
          <w:sz w:val="22"/>
          <w:szCs w:val="22"/>
          <w:lang w:val="en-US"/>
        </w:rPr>
        <w:t xml:space="preserve">Read the full report </w:t>
      </w:r>
      <w:r w:rsidR="001C72C4">
        <w:rPr>
          <w:rFonts w:ascii="Times New Roman" w:hAnsi="Times New Roman"/>
          <w:b/>
          <w:i/>
          <w:sz w:val="22"/>
          <w:szCs w:val="22"/>
          <w:lang w:val="en-US"/>
        </w:rPr>
        <w:t xml:space="preserve"> (</w:t>
      </w:r>
      <w:bookmarkStart w:id="1" w:name="_GoBack"/>
      <w:bookmarkEnd w:id="1"/>
    </w:p>
    <w:p w:rsidR="002E1A2A" w:rsidRDefault="002E1A2A" w:rsidP="001C72C4">
      <w:pPr>
        <w:pStyle w:val="Heading1"/>
      </w:pPr>
      <w:r w:rsidRPr="00341927">
        <w:t>Poverty alleviation and livelihoods</w:t>
      </w:r>
    </w:p>
    <w:p w:rsidR="001C72C4" w:rsidRPr="001C72C4" w:rsidRDefault="001C72C4" w:rsidP="001C72C4"/>
    <w:p w:rsidR="0072610D" w:rsidRDefault="0072610D"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roofErr w:type="spellStart"/>
      <w:r w:rsidRPr="0072610D">
        <w:rPr>
          <w:rFonts w:ascii="Times New Roman" w:hAnsi="Times New Roman"/>
          <w:sz w:val="22"/>
          <w:szCs w:val="22"/>
          <w:lang w:val="en-GB"/>
        </w:rPr>
        <w:t>HelpAge</w:t>
      </w:r>
      <w:proofErr w:type="spellEnd"/>
      <w:r w:rsidRPr="0072610D">
        <w:rPr>
          <w:rFonts w:ascii="Times New Roman" w:hAnsi="Times New Roman"/>
          <w:sz w:val="22"/>
          <w:szCs w:val="22"/>
          <w:lang w:val="en-GB"/>
        </w:rPr>
        <w:t xml:space="preserve"> programmes in Pakistan, India, Myanmar and Tanzania with a livelihood component were also evaluated in 2012</w:t>
      </w:r>
      <w:r w:rsidRPr="002B58DD">
        <w:rPr>
          <w:rFonts w:ascii="Times New Roman" w:hAnsi="Times New Roman"/>
          <w:sz w:val="22"/>
          <w:szCs w:val="22"/>
          <w:lang w:val="en-GB"/>
        </w:rPr>
        <w:t xml:space="preserve">. </w:t>
      </w:r>
      <w:r w:rsidR="00124941" w:rsidRPr="002B58DD">
        <w:rPr>
          <w:rFonts w:ascii="Times New Roman" w:hAnsi="Times New Roman"/>
          <w:sz w:val="22"/>
          <w:szCs w:val="22"/>
          <w:lang w:val="en-GB"/>
        </w:rPr>
        <w:t xml:space="preserve"> These evaluations looked at the impact of community revolving fund on older people in Pakistan, older people access to microcredit </w:t>
      </w:r>
      <w:proofErr w:type="spellStart"/>
      <w:r w:rsidR="00124941" w:rsidRPr="002B58DD">
        <w:rPr>
          <w:rFonts w:ascii="Times New Roman" w:hAnsi="Times New Roman"/>
          <w:sz w:val="22"/>
          <w:szCs w:val="22"/>
          <w:lang w:val="en-GB"/>
        </w:rPr>
        <w:t>prgrammes</w:t>
      </w:r>
      <w:proofErr w:type="spellEnd"/>
      <w:r w:rsidR="00124941" w:rsidRPr="002B58DD">
        <w:rPr>
          <w:rFonts w:ascii="Times New Roman" w:hAnsi="Times New Roman"/>
          <w:sz w:val="22"/>
          <w:szCs w:val="22"/>
          <w:lang w:val="en-GB"/>
        </w:rPr>
        <w:t xml:space="preserve"> in India or vulnerable people participation in decentralized development planning and budgeting in Tanzania. </w:t>
      </w:r>
      <w:r w:rsidR="002B58DD" w:rsidRPr="002B58DD">
        <w:rPr>
          <w:rFonts w:ascii="Times New Roman" w:hAnsi="Times New Roman"/>
          <w:sz w:val="22"/>
          <w:szCs w:val="22"/>
          <w:lang w:val="en-GB"/>
        </w:rPr>
        <w:t xml:space="preserve">In general the evaluations </w:t>
      </w:r>
      <w:r w:rsidR="002B58DD">
        <w:rPr>
          <w:rFonts w:ascii="Times New Roman" w:hAnsi="Times New Roman"/>
          <w:sz w:val="22"/>
          <w:szCs w:val="22"/>
          <w:lang w:val="en-GB"/>
        </w:rPr>
        <w:t xml:space="preserve">concluded that: </w:t>
      </w:r>
      <w:r w:rsidR="002B58DD" w:rsidRPr="002B58DD">
        <w:rPr>
          <w:rFonts w:ascii="Times New Roman" w:hAnsi="Times New Roman"/>
          <w:sz w:val="22"/>
          <w:szCs w:val="22"/>
          <w:lang w:val="en-GB"/>
        </w:rPr>
        <w:t xml:space="preserve"> </w:t>
      </w:r>
    </w:p>
    <w:p w:rsidR="00124941" w:rsidRDefault="00124941" w:rsidP="00341927">
      <w:pPr>
        <w:pStyle w:val="IDLToolbox"/>
        <w:pBdr>
          <w:top w:val="none" w:sz="0" w:space="0" w:color="auto"/>
          <w:left w:val="none" w:sz="0" w:space="0" w:color="auto"/>
          <w:bottom w:val="none" w:sz="0" w:space="0" w:color="auto"/>
          <w:right w:val="none" w:sz="0" w:space="0" w:color="auto"/>
        </w:pBdr>
        <w:shd w:val="clear" w:color="auto" w:fill="FFFFFF" w:themeFill="background1"/>
        <w:spacing w:line="276" w:lineRule="auto"/>
        <w:ind w:left="-284"/>
        <w:rPr>
          <w:rFonts w:ascii="Times New Roman" w:hAnsi="Times New Roman"/>
          <w:b/>
          <w:sz w:val="22"/>
          <w:szCs w:val="22"/>
          <w:lang w:val="en-GB"/>
        </w:rPr>
      </w:pPr>
    </w:p>
    <w:p w:rsidR="00124941" w:rsidRPr="002B58DD" w:rsidRDefault="00124941" w:rsidP="00124941">
      <w:pPr>
        <w:pStyle w:val="ListParagraph"/>
        <w:numPr>
          <w:ilvl w:val="0"/>
          <w:numId w:val="3"/>
        </w:numPr>
        <w:jc w:val="both"/>
        <w:rPr>
          <w:rFonts w:ascii="Times New Roman" w:eastAsiaTheme="minorHAnsi" w:hAnsi="Times New Roman"/>
          <w:sz w:val="22"/>
        </w:rPr>
      </w:pPr>
      <w:r w:rsidRPr="002B58DD">
        <w:rPr>
          <w:rFonts w:ascii="Times New Roman" w:eastAsiaTheme="minorHAnsi" w:hAnsi="Times New Roman"/>
          <w:sz w:val="22"/>
        </w:rPr>
        <w:t>HAI interventions ha</w:t>
      </w:r>
      <w:r w:rsidR="002B58DD">
        <w:rPr>
          <w:rFonts w:ascii="Times New Roman" w:eastAsiaTheme="minorHAnsi" w:hAnsi="Times New Roman"/>
          <w:sz w:val="22"/>
        </w:rPr>
        <w:t>d</w:t>
      </w:r>
      <w:r w:rsidRPr="002B58DD">
        <w:rPr>
          <w:rFonts w:ascii="Times New Roman" w:eastAsiaTheme="minorHAnsi" w:hAnsi="Times New Roman"/>
          <w:sz w:val="22"/>
        </w:rPr>
        <w:t xml:space="preserve"> broken the perceived image of OPs as non-contributory to productive figures of households.</w:t>
      </w:r>
    </w:p>
    <w:p w:rsidR="00124941" w:rsidRPr="002B58DD" w:rsidRDefault="00124941" w:rsidP="00124941">
      <w:pPr>
        <w:pStyle w:val="ListParagraph"/>
        <w:numPr>
          <w:ilvl w:val="0"/>
          <w:numId w:val="3"/>
        </w:numPr>
        <w:jc w:val="both"/>
        <w:rPr>
          <w:rFonts w:ascii="Times New Roman" w:eastAsiaTheme="minorHAnsi" w:hAnsi="Times New Roman"/>
          <w:sz w:val="22"/>
        </w:rPr>
      </w:pPr>
      <w:r w:rsidRPr="002B58DD">
        <w:rPr>
          <w:rFonts w:ascii="Times New Roman" w:eastAsiaTheme="minorHAnsi" w:hAnsi="Times New Roman"/>
          <w:sz w:val="22"/>
        </w:rPr>
        <w:t xml:space="preserve">Primary (OPs) and secondary stakeholders (other communities) are sensitized regarding ageing. Key stakeholders needs to be thoroughly sensitized.  </w:t>
      </w:r>
    </w:p>
    <w:p w:rsidR="00124941" w:rsidRPr="002B58DD" w:rsidRDefault="00124941" w:rsidP="00124941">
      <w:pPr>
        <w:pStyle w:val="ListParagraph"/>
        <w:numPr>
          <w:ilvl w:val="0"/>
          <w:numId w:val="3"/>
        </w:numPr>
        <w:jc w:val="both"/>
        <w:rPr>
          <w:rFonts w:ascii="Times New Roman" w:eastAsiaTheme="minorHAnsi" w:hAnsi="Times New Roman"/>
          <w:sz w:val="22"/>
        </w:rPr>
      </w:pPr>
      <w:r w:rsidRPr="002B58DD">
        <w:rPr>
          <w:rFonts w:ascii="Times New Roman" w:eastAsiaTheme="minorHAnsi" w:hAnsi="Times New Roman"/>
          <w:sz w:val="22"/>
        </w:rPr>
        <w:t xml:space="preserve">Resilience of communities developed to face disasters, OPAMCs formed to mitigate risks during disasters and CAPs developed.   </w:t>
      </w:r>
    </w:p>
    <w:p w:rsidR="00124941" w:rsidRPr="002B58DD" w:rsidRDefault="00124941" w:rsidP="00124941">
      <w:pPr>
        <w:pStyle w:val="ListParagraph"/>
        <w:numPr>
          <w:ilvl w:val="0"/>
          <w:numId w:val="3"/>
        </w:numPr>
        <w:jc w:val="both"/>
        <w:rPr>
          <w:rFonts w:ascii="Times New Roman" w:eastAsiaTheme="minorHAnsi" w:hAnsi="Times New Roman"/>
          <w:sz w:val="22"/>
        </w:rPr>
      </w:pPr>
      <w:r w:rsidRPr="002B58DD">
        <w:rPr>
          <w:rFonts w:ascii="Times New Roman" w:eastAsiaTheme="minorHAnsi" w:hAnsi="Times New Roman"/>
          <w:sz w:val="22"/>
        </w:rPr>
        <w:t>HAI has emerged as a trustworthy friend of older people in addressing their needs.</w:t>
      </w:r>
    </w:p>
    <w:p w:rsidR="00745888" w:rsidRDefault="00124941" w:rsidP="00745888">
      <w:pPr>
        <w:pStyle w:val="ListParagraph"/>
        <w:numPr>
          <w:ilvl w:val="0"/>
          <w:numId w:val="3"/>
        </w:numPr>
        <w:jc w:val="both"/>
        <w:rPr>
          <w:rFonts w:ascii="Times New Roman" w:eastAsiaTheme="minorHAnsi" w:hAnsi="Times New Roman"/>
          <w:sz w:val="22"/>
        </w:rPr>
      </w:pPr>
      <w:r w:rsidRPr="002B58DD">
        <w:rPr>
          <w:rFonts w:ascii="Times New Roman" w:eastAsiaTheme="minorHAnsi" w:hAnsi="Times New Roman"/>
          <w:sz w:val="22"/>
        </w:rPr>
        <w:t>Older people are marginalized in existing poverty reduction programmes, other than HAI offered in the targeted districts.</w:t>
      </w:r>
    </w:p>
    <w:p w:rsidR="00745888" w:rsidRDefault="00745888" w:rsidP="00745888">
      <w:pPr>
        <w:pStyle w:val="ListParagraph"/>
        <w:jc w:val="both"/>
        <w:rPr>
          <w:rFonts w:ascii="Times New Roman" w:eastAsiaTheme="minorHAnsi" w:hAnsi="Times New Roman"/>
          <w:sz w:val="22"/>
        </w:rPr>
      </w:pPr>
    </w:p>
    <w:p w:rsidR="00124941" w:rsidRPr="00745888" w:rsidRDefault="00745888" w:rsidP="00745888">
      <w:pPr>
        <w:pStyle w:val="ListParagraph"/>
        <w:ind w:left="0"/>
        <w:jc w:val="both"/>
        <w:rPr>
          <w:rFonts w:ascii="Times New Roman" w:eastAsiaTheme="minorHAnsi" w:hAnsi="Times New Roman"/>
          <w:sz w:val="22"/>
        </w:rPr>
      </w:pPr>
      <w:r w:rsidRPr="00745888">
        <w:rPr>
          <w:rFonts w:ascii="Times New Roman" w:eastAsiaTheme="minorHAnsi" w:hAnsi="Times New Roman"/>
          <w:b/>
          <w:i/>
          <w:sz w:val="22"/>
        </w:rPr>
        <w:t xml:space="preserve">Read </w:t>
      </w:r>
      <w:r w:rsidRPr="00745888">
        <w:rPr>
          <w:rFonts w:ascii="Times New Roman" w:hAnsi="Times New Roman"/>
          <w:b/>
          <w:i/>
          <w:sz w:val="22"/>
        </w:rPr>
        <w:t>full repor</w:t>
      </w:r>
      <w:r w:rsidR="00383A4A">
        <w:rPr>
          <w:rFonts w:ascii="Times New Roman" w:hAnsi="Times New Roman"/>
          <w:b/>
          <w:i/>
          <w:sz w:val="22"/>
        </w:rPr>
        <w:t xml:space="preserve">ts </w:t>
      </w:r>
      <w:r w:rsidRPr="00745888">
        <w:rPr>
          <w:rFonts w:ascii="Times New Roman" w:hAnsi="Times New Roman"/>
          <w:b/>
          <w:i/>
          <w:sz w:val="22"/>
        </w:rPr>
        <w:t xml:space="preserve">: Pakistan, Myanmar, India, </w:t>
      </w:r>
      <w:r w:rsidR="00383A4A" w:rsidRPr="00745888">
        <w:rPr>
          <w:rFonts w:ascii="Times New Roman" w:hAnsi="Times New Roman"/>
          <w:b/>
          <w:i/>
          <w:sz w:val="22"/>
        </w:rPr>
        <w:t>and Tanzania</w:t>
      </w:r>
      <w:r w:rsidRPr="00745888">
        <w:rPr>
          <w:rFonts w:ascii="Times New Roman" w:hAnsi="Times New Roman"/>
        </w:rPr>
        <w:t xml:space="preserve">. </w:t>
      </w:r>
    </w:p>
    <w:sectPr w:rsidR="00124941" w:rsidRPr="007458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66" w:rsidRDefault="005C5C66" w:rsidP="00BB6E2A">
      <w:pPr>
        <w:spacing w:after="0" w:line="240" w:lineRule="auto"/>
      </w:pPr>
      <w:r>
        <w:separator/>
      </w:r>
    </w:p>
  </w:endnote>
  <w:endnote w:type="continuationSeparator" w:id="0">
    <w:p w:rsidR="005C5C66" w:rsidRDefault="005C5C66" w:rsidP="00BB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66" w:rsidRDefault="005C5C66" w:rsidP="00BB6E2A">
      <w:pPr>
        <w:spacing w:after="0" w:line="240" w:lineRule="auto"/>
      </w:pPr>
      <w:r>
        <w:separator/>
      </w:r>
    </w:p>
  </w:footnote>
  <w:footnote w:type="continuationSeparator" w:id="0">
    <w:p w:rsidR="005C5C66" w:rsidRDefault="005C5C66" w:rsidP="00BB6E2A">
      <w:pPr>
        <w:spacing w:after="0" w:line="240" w:lineRule="auto"/>
      </w:pPr>
      <w:r>
        <w:continuationSeparator/>
      </w:r>
    </w:p>
  </w:footnote>
  <w:footnote w:id="1">
    <w:p w:rsidR="005C5C66" w:rsidRPr="00264BF0" w:rsidRDefault="005C5C66" w:rsidP="00CD4308">
      <w:pPr>
        <w:pStyle w:val="FootnoteText"/>
      </w:pPr>
      <w:r>
        <w:rPr>
          <w:rStyle w:val="FootnoteReference"/>
        </w:rPr>
        <w:footnoteRef/>
      </w:r>
      <w:r>
        <w:t xml:space="preserve"> </w:t>
      </w:r>
      <w:r w:rsidRPr="00264BF0">
        <w:t>Corporate Indicator 22 Q1, Strategy target of 60 countries by March 2013, and a PPA target of 65 countries by 2014</w:t>
      </w:r>
      <w:r>
        <w:t>.</w:t>
      </w:r>
    </w:p>
  </w:footnote>
  <w:footnote w:id="2">
    <w:p w:rsidR="005C5C66" w:rsidRPr="007961DC" w:rsidRDefault="005C5C66" w:rsidP="00CD4308">
      <w:pPr>
        <w:pStyle w:val="FootnoteText"/>
      </w:pPr>
      <w:r>
        <w:rPr>
          <w:rStyle w:val="FootnoteReference"/>
        </w:rPr>
        <w:footnoteRef/>
      </w:r>
      <w:r>
        <w:t xml:space="preserve"> </w:t>
      </w:r>
      <w:r w:rsidRPr="007961DC">
        <w:t>Corporate Indicator 22 Q2, Strategy target of 65,000 people by March 2013</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9F8"/>
    <w:multiLevelType w:val="hybridMultilevel"/>
    <w:tmpl w:val="C2724BE8"/>
    <w:lvl w:ilvl="0" w:tplc="B184C24E">
      <w:numFmt w:val="bullet"/>
      <w:lvlText w:val="•"/>
      <w:lvlJc w:val="left"/>
      <w:pPr>
        <w:ind w:left="76" w:hanging="360"/>
      </w:pPr>
      <w:rPr>
        <w:rFonts w:ascii="Times New Roman" w:eastAsia="Times New Roman" w:hAnsi="Times New Roman"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
    <w:nsid w:val="0AE70127"/>
    <w:multiLevelType w:val="hybridMultilevel"/>
    <w:tmpl w:val="3FCA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261C7"/>
    <w:multiLevelType w:val="hybridMultilevel"/>
    <w:tmpl w:val="C6FE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D27D9"/>
    <w:multiLevelType w:val="hybridMultilevel"/>
    <w:tmpl w:val="E71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B00640"/>
    <w:multiLevelType w:val="hybridMultilevel"/>
    <w:tmpl w:val="F1C26792"/>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5">
    <w:nsid w:val="3C8F71E0"/>
    <w:multiLevelType w:val="hybridMultilevel"/>
    <w:tmpl w:val="59740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4A365EA"/>
    <w:multiLevelType w:val="hybridMultilevel"/>
    <w:tmpl w:val="FD9C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DF3EFC"/>
    <w:multiLevelType w:val="hybridMultilevel"/>
    <w:tmpl w:val="6242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5D18DA"/>
    <w:multiLevelType w:val="hybridMultilevel"/>
    <w:tmpl w:val="CF44FC96"/>
    <w:lvl w:ilvl="0" w:tplc="DC1A5CE2">
      <w:start w:val="5"/>
      <w:numFmt w:val="bullet"/>
      <w:lvlText w:val=""/>
      <w:lvlJc w:val="left"/>
      <w:pPr>
        <w:ind w:left="76" w:hanging="360"/>
      </w:pPr>
      <w:rPr>
        <w:rFonts w:ascii="Symbol" w:eastAsia="Times New Roman" w:hAnsi="Symbol" w:cs="Calibr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9">
    <w:nsid w:val="7CA52031"/>
    <w:multiLevelType w:val="hybridMultilevel"/>
    <w:tmpl w:val="751E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
  </w:num>
  <w:num w:numId="5">
    <w:abstractNumId w:val="9"/>
  </w:num>
  <w:num w:numId="6">
    <w:abstractNumId w:val="3"/>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2A"/>
    <w:rsid w:val="00124941"/>
    <w:rsid w:val="001B5525"/>
    <w:rsid w:val="001C72C4"/>
    <w:rsid w:val="002B58DD"/>
    <w:rsid w:val="002E1A2A"/>
    <w:rsid w:val="00312D5B"/>
    <w:rsid w:val="00341927"/>
    <w:rsid w:val="00383A4A"/>
    <w:rsid w:val="0046315F"/>
    <w:rsid w:val="004D7FD6"/>
    <w:rsid w:val="005A142B"/>
    <w:rsid w:val="005C1FBC"/>
    <w:rsid w:val="005C5C66"/>
    <w:rsid w:val="006B0E7B"/>
    <w:rsid w:val="0072610D"/>
    <w:rsid w:val="00745888"/>
    <w:rsid w:val="0092536A"/>
    <w:rsid w:val="009A27A4"/>
    <w:rsid w:val="00BB6E2A"/>
    <w:rsid w:val="00BF1310"/>
    <w:rsid w:val="00CA7B1B"/>
    <w:rsid w:val="00CB3C3D"/>
    <w:rsid w:val="00CD4308"/>
    <w:rsid w:val="00DA0FE6"/>
    <w:rsid w:val="00DF135F"/>
    <w:rsid w:val="00E76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72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2A"/>
  </w:style>
  <w:style w:type="paragraph" w:styleId="Footer">
    <w:name w:val="footer"/>
    <w:basedOn w:val="Normal"/>
    <w:link w:val="FooterChar"/>
    <w:uiPriority w:val="99"/>
    <w:unhideWhenUsed/>
    <w:rsid w:val="00BB6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2A"/>
  </w:style>
  <w:style w:type="paragraph" w:customStyle="1" w:styleId="IDLToolbox">
    <w:name w:val="IDL Toolbox"/>
    <w:basedOn w:val="Normal"/>
    <w:link w:val="IDLToolboxChar"/>
    <w:rsid w:val="00BB6E2A"/>
    <w:pPr>
      <w:pBdr>
        <w:top w:val="single" w:sz="4" w:space="1" w:color="auto" w:shadow="1"/>
        <w:left w:val="single" w:sz="4" w:space="4" w:color="auto" w:shadow="1"/>
        <w:bottom w:val="single" w:sz="4" w:space="1" w:color="auto" w:shadow="1"/>
        <w:right w:val="single" w:sz="4" w:space="4" w:color="auto" w:shadow="1"/>
      </w:pBdr>
      <w:shd w:val="clear" w:color="auto" w:fill="FFF5AA"/>
      <w:spacing w:after="0" w:line="240" w:lineRule="auto"/>
      <w:jc w:val="both"/>
    </w:pPr>
    <w:rPr>
      <w:rFonts w:ascii="Calibri" w:eastAsia="Times New Roman" w:hAnsi="Calibri" w:cs="Times New Roman"/>
      <w:color w:val="000000"/>
      <w:sz w:val="20"/>
      <w:szCs w:val="20"/>
      <w:lang w:val="x-none" w:eastAsia="x-none"/>
    </w:rPr>
  </w:style>
  <w:style w:type="character" w:customStyle="1" w:styleId="IDLToolboxChar">
    <w:name w:val="IDL Toolbox Char"/>
    <w:link w:val="IDLToolbox"/>
    <w:locked/>
    <w:rsid w:val="00BB6E2A"/>
    <w:rPr>
      <w:rFonts w:ascii="Calibri" w:eastAsia="Times New Roman" w:hAnsi="Calibri" w:cs="Times New Roman"/>
      <w:color w:val="000000"/>
      <w:sz w:val="20"/>
      <w:szCs w:val="20"/>
      <w:shd w:val="clear" w:color="auto" w:fill="FFF5AA"/>
      <w:lang w:val="x-none" w:eastAsia="x-none"/>
    </w:rPr>
  </w:style>
  <w:style w:type="paragraph" w:styleId="FootnoteText">
    <w:name w:val="footnote text"/>
    <w:aliases w:val="Footnote Text Char Char Char Char,f Char Char,f Char Char Char Char Char Char,f Char Char Char Char Char,f Char Char Char Char,Footnote Text Char Char,f"/>
    <w:basedOn w:val="Normal"/>
    <w:link w:val="FootnoteTextChar"/>
    <w:uiPriority w:val="99"/>
    <w:semiHidden/>
    <w:rsid w:val="00CD4308"/>
    <w:pPr>
      <w:spacing w:after="0" w:line="300" w:lineRule="atLeast"/>
      <w:jc w:val="both"/>
    </w:pPr>
    <w:rPr>
      <w:rFonts w:ascii="Arial" w:eastAsia="Times New Roman" w:hAnsi="Arial" w:cs="Arial"/>
      <w:sz w:val="18"/>
      <w:szCs w:val="20"/>
      <w:lang w:eastAsia="en-GB"/>
    </w:rPr>
  </w:style>
  <w:style w:type="character" w:customStyle="1" w:styleId="FootnoteTextChar">
    <w:name w:val="Footnote Text Char"/>
    <w:aliases w:val="Footnote Text Char Char Char Char Char,f Char Char Char,f Char Char Char Char Char Char Char,f Char Char Char Char Char Char1,f Char Char Char Char Char1,Footnote Text Char Char Char,f Char"/>
    <w:basedOn w:val="DefaultParagraphFont"/>
    <w:link w:val="FootnoteText"/>
    <w:uiPriority w:val="99"/>
    <w:semiHidden/>
    <w:rsid w:val="00CD4308"/>
    <w:rPr>
      <w:rFonts w:ascii="Arial" w:eastAsia="Times New Roman" w:hAnsi="Arial" w:cs="Arial"/>
      <w:sz w:val="18"/>
      <w:szCs w:val="20"/>
      <w:lang w:eastAsia="en-GB"/>
    </w:rPr>
  </w:style>
  <w:style w:type="character" w:styleId="FootnoteReference">
    <w:name w:val="footnote reference"/>
    <w:aliases w:val="Ref,de nota al pie,ftref"/>
    <w:basedOn w:val="DefaultParagraphFont"/>
    <w:uiPriority w:val="99"/>
    <w:semiHidden/>
    <w:rsid w:val="00CD4308"/>
    <w:rPr>
      <w:rFonts w:cs="Times New Roman"/>
      <w:vertAlign w:val="superscript"/>
    </w:rPr>
  </w:style>
  <w:style w:type="paragraph" w:styleId="ListParagraph">
    <w:name w:val="List Paragraph"/>
    <w:basedOn w:val="Normal"/>
    <w:uiPriority w:val="34"/>
    <w:qFormat/>
    <w:rsid w:val="00124941"/>
    <w:pPr>
      <w:ind w:left="720"/>
      <w:contextualSpacing/>
    </w:pPr>
    <w:rPr>
      <w:rFonts w:ascii="Calibri" w:eastAsia="Calibri" w:hAnsi="Calibri" w:cs="Times New Roman"/>
      <w:sz w:val="20"/>
    </w:rPr>
  </w:style>
  <w:style w:type="paragraph" w:styleId="BalloonText">
    <w:name w:val="Balloon Text"/>
    <w:basedOn w:val="Normal"/>
    <w:link w:val="BalloonTextChar"/>
    <w:uiPriority w:val="99"/>
    <w:semiHidden/>
    <w:unhideWhenUsed/>
    <w:rsid w:val="002B5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DD"/>
    <w:rPr>
      <w:rFonts w:ascii="Tahoma" w:hAnsi="Tahoma" w:cs="Tahoma"/>
      <w:sz w:val="16"/>
      <w:szCs w:val="16"/>
    </w:rPr>
  </w:style>
  <w:style w:type="paragraph" w:styleId="Title">
    <w:name w:val="Title"/>
    <w:basedOn w:val="Normal"/>
    <w:next w:val="Normal"/>
    <w:link w:val="TitleChar"/>
    <w:uiPriority w:val="10"/>
    <w:qFormat/>
    <w:rsid w:val="001C72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72C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C72C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C72C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72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E2A"/>
  </w:style>
  <w:style w:type="paragraph" w:styleId="Footer">
    <w:name w:val="footer"/>
    <w:basedOn w:val="Normal"/>
    <w:link w:val="FooterChar"/>
    <w:uiPriority w:val="99"/>
    <w:unhideWhenUsed/>
    <w:rsid w:val="00BB6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E2A"/>
  </w:style>
  <w:style w:type="paragraph" w:customStyle="1" w:styleId="IDLToolbox">
    <w:name w:val="IDL Toolbox"/>
    <w:basedOn w:val="Normal"/>
    <w:link w:val="IDLToolboxChar"/>
    <w:rsid w:val="00BB6E2A"/>
    <w:pPr>
      <w:pBdr>
        <w:top w:val="single" w:sz="4" w:space="1" w:color="auto" w:shadow="1"/>
        <w:left w:val="single" w:sz="4" w:space="4" w:color="auto" w:shadow="1"/>
        <w:bottom w:val="single" w:sz="4" w:space="1" w:color="auto" w:shadow="1"/>
        <w:right w:val="single" w:sz="4" w:space="4" w:color="auto" w:shadow="1"/>
      </w:pBdr>
      <w:shd w:val="clear" w:color="auto" w:fill="FFF5AA"/>
      <w:spacing w:after="0" w:line="240" w:lineRule="auto"/>
      <w:jc w:val="both"/>
    </w:pPr>
    <w:rPr>
      <w:rFonts w:ascii="Calibri" w:eastAsia="Times New Roman" w:hAnsi="Calibri" w:cs="Times New Roman"/>
      <w:color w:val="000000"/>
      <w:sz w:val="20"/>
      <w:szCs w:val="20"/>
      <w:lang w:val="x-none" w:eastAsia="x-none"/>
    </w:rPr>
  </w:style>
  <w:style w:type="character" w:customStyle="1" w:styleId="IDLToolboxChar">
    <w:name w:val="IDL Toolbox Char"/>
    <w:link w:val="IDLToolbox"/>
    <w:locked/>
    <w:rsid w:val="00BB6E2A"/>
    <w:rPr>
      <w:rFonts w:ascii="Calibri" w:eastAsia="Times New Roman" w:hAnsi="Calibri" w:cs="Times New Roman"/>
      <w:color w:val="000000"/>
      <w:sz w:val="20"/>
      <w:szCs w:val="20"/>
      <w:shd w:val="clear" w:color="auto" w:fill="FFF5AA"/>
      <w:lang w:val="x-none" w:eastAsia="x-none"/>
    </w:rPr>
  </w:style>
  <w:style w:type="paragraph" w:styleId="FootnoteText">
    <w:name w:val="footnote text"/>
    <w:aliases w:val="Footnote Text Char Char Char Char,f Char Char,f Char Char Char Char Char Char,f Char Char Char Char Char,f Char Char Char Char,Footnote Text Char Char,f"/>
    <w:basedOn w:val="Normal"/>
    <w:link w:val="FootnoteTextChar"/>
    <w:uiPriority w:val="99"/>
    <w:semiHidden/>
    <w:rsid w:val="00CD4308"/>
    <w:pPr>
      <w:spacing w:after="0" w:line="300" w:lineRule="atLeast"/>
      <w:jc w:val="both"/>
    </w:pPr>
    <w:rPr>
      <w:rFonts w:ascii="Arial" w:eastAsia="Times New Roman" w:hAnsi="Arial" w:cs="Arial"/>
      <w:sz w:val="18"/>
      <w:szCs w:val="20"/>
      <w:lang w:eastAsia="en-GB"/>
    </w:rPr>
  </w:style>
  <w:style w:type="character" w:customStyle="1" w:styleId="FootnoteTextChar">
    <w:name w:val="Footnote Text Char"/>
    <w:aliases w:val="Footnote Text Char Char Char Char Char,f Char Char Char,f Char Char Char Char Char Char Char,f Char Char Char Char Char Char1,f Char Char Char Char Char1,Footnote Text Char Char Char,f Char"/>
    <w:basedOn w:val="DefaultParagraphFont"/>
    <w:link w:val="FootnoteText"/>
    <w:uiPriority w:val="99"/>
    <w:semiHidden/>
    <w:rsid w:val="00CD4308"/>
    <w:rPr>
      <w:rFonts w:ascii="Arial" w:eastAsia="Times New Roman" w:hAnsi="Arial" w:cs="Arial"/>
      <w:sz w:val="18"/>
      <w:szCs w:val="20"/>
      <w:lang w:eastAsia="en-GB"/>
    </w:rPr>
  </w:style>
  <w:style w:type="character" w:styleId="FootnoteReference">
    <w:name w:val="footnote reference"/>
    <w:aliases w:val="Ref,de nota al pie,ftref"/>
    <w:basedOn w:val="DefaultParagraphFont"/>
    <w:uiPriority w:val="99"/>
    <w:semiHidden/>
    <w:rsid w:val="00CD4308"/>
    <w:rPr>
      <w:rFonts w:cs="Times New Roman"/>
      <w:vertAlign w:val="superscript"/>
    </w:rPr>
  </w:style>
  <w:style w:type="paragraph" w:styleId="ListParagraph">
    <w:name w:val="List Paragraph"/>
    <w:basedOn w:val="Normal"/>
    <w:uiPriority w:val="34"/>
    <w:qFormat/>
    <w:rsid w:val="00124941"/>
    <w:pPr>
      <w:ind w:left="720"/>
      <w:contextualSpacing/>
    </w:pPr>
    <w:rPr>
      <w:rFonts w:ascii="Calibri" w:eastAsia="Calibri" w:hAnsi="Calibri" w:cs="Times New Roman"/>
      <w:sz w:val="20"/>
    </w:rPr>
  </w:style>
  <w:style w:type="paragraph" w:styleId="BalloonText">
    <w:name w:val="Balloon Text"/>
    <w:basedOn w:val="Normal"/>
    <w:link w:val="BalloonTextChar"/>
    <w:uiPriority w:val="99"/>
    <w:semiHidden/>
    <w:unhideWhenUsed/>
    <w:rsid w:val="002B5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DD"/>
    <w:rPr>
      <w:rFonts w:ascii="Tahoma" w:hAnsi="Tahoma" w:cs="Tahoma"/>
      <w:sz w:val="16"/>
      <w:szCs w:val="16"/>
    </w:rPr>
  </w:style>
  <w:style w:type="paragraph" w:styleId="Title">
    <w:name w:val="Title"/>
    <w:basedOn w:val="Normal"/>
    <w:next w:val="Normal"/>
    <w:link w:val="TitleChar"/>
    <w:uiPriority w:val="10"/>
    <w:qFormat/>
    <w:rsid w:val="001C72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72C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C72C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C72C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Cheta</dc:creator>
  <cp:lastModifiedBy>Claude Cheta</cp:lastModifiedBy>
  <cp:revision>4</cp:revision>
  <cp:lastPrinted>2013-01-09T16:34:00Z</cp:lastPrinted>
  <dcterms:created xsi:type="dcterms:W3CDTF">2013-01-11T09:54:00Z</dcterms:created>
  <dcterms:modified xsi:type="dcterms:W3CDTF">2013-01-17T14:10:00Z</dcterms:modified>
</cp:coreProperties>
</file>